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cs="宋体"/>
          <w:b/>
          <w:bCs/>
          <w:color w:val="auto"/>
          <w:sz w:val="84"/>
          <w:szCs w:val="84"/>
          <w:highlight w:val="none"/>
        </w:rPr>
      </w:pPr>
      <w:r>
        <w:rPr>
          <w:rFonts w:ascii="宋体" w:hAnsi="宋体" w:cs="宋体"/>
          <w:b/>
          <w:bCs/>
          <w:color w:val="auto"/>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t xml:space="preserve">苏州市政府采购</w:t>
      </w:r>
      <w:r/>
    </w:p>
    <w:p>
      <w:pPr>
        <w:jc w:val="center"/>
        <w:rPr>
          <w:rFonts w:ascii="宋体" w:hAnsi="宋体" w:cs="宋体"/>
          <w:color w:val="auto"/>
          <w:sz w:val="84"/>
          <w:szCs w:val="84"/>
          <w:highlight w:val="none"/>
        </w:rPr>
      </w:pPr>
      <w:r>
        <w:rPr>
          <w:rFonts w:hint="eastAsia" w:ascii="宋体" w:hAnsi="宋体" w:cs="宋体"/>
          <w:b/>
          <w:bCs/>
          <w:color w:val="auto"/>
          <w:sz w:val="84"/>
          <w:szCs w:val="84"/>
          <w:highlight w:val="none"/>
        </w:rPr>
        <w:t xml:space="preserve">磋商文件</w:t>
      </w:r>
      <w:r/>
    </w:p>
    <w:p>
      <w:pPr>
        <w:rPr>
          <w:rFonts w:ascii="宋体" w:hAnsi="宋体" w:cs="宋体"/>
          <w:color w:val="auto"/>
          <w:sz w:val="84"/>
          <w:szCs w:val="84"/>
          <w:highlight w:val="none"/>
        </w:rPr>
      </w:pPr>
      <w:r>
        <w:rPr>
          <w:rFonts w:ascii="宋体" w:hAnsi="宋体" w:cs="宋体"/>
          <w:color w:val="auto"/>
          <w:sz w:val="84"/>
          <w:szCs w:val="84"/>
          <w:highlight w:val="none"/>
        </w:rPr>
      </w:r>
      <w:r/>
    </w:p>
    <w:p>
      <w:pP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ind w:firstLine="904"/>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lang w:eastAsia="zh-CN"/>
        </w:rPr>
        <w:t xml:space="preserve">苏州市网球和水上运动业余体校</w:t>
      </w:r>
      <w:r/>
    </w:p>
    <w:p>
      <w:pPr>
        <w:ind w:firstLine="904"/>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2026年食堂食材采购及配送</w:t>
      </w:r>
      <w:r/>
    </w:p>
    <w:p>
      <w:pPr>
        <w:ind w:firstLine="904"/>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JSZC-320500-SZHT-C2026-0001</w:t>
      </w:r>
      <w:r/>
    </w:p>
    <w:p>
      <w:pPr>
        <w:ind w:firstLine="904"/>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磋商类别：服务类 </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苏州恒泰招投标咨询服务有限公司</w:t>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eastAsia="zh-CN"/>
        </w:rPr>
        <w:t xml:space="preserve">一</w:t>
      </w:r>
      <w:r>
        <w:rPr>
          <w:rFonts w:hint="eastAsia" w:ascii="宋体" w:hAnsi="宋体" w:cs="宋体"/>
          <w:b/>
          <w:bCs/>
          <w:color w:val="auto"/>
          <w:sz w:val="28"/>
          <w:szCs w:val="28"/>
          <w:highlight w:val="none"/>
        </w:rPr>
        <w:t xml:space="preserve">月</w:t>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733"/>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733"/>
        <w:rPr>
          <w:rFonts w:ascii="宋体" w:hAnsi="宋体" w:cs="宋体"/>
          <w:color w:val="auto"/>
          <w:highlight w:val="none"/>
        </w:rPr>
      </w:pPr>
      <w:r>
        <w:rPr>
          <w:rFonts w:ascii="宋体" w:hAnsi="宋体" w:cs="宋体"/>
          <w:color w:val="auto"/>
          <w:highlight w:val="none"/>
        </w:rPr>
      </w:r>
      <w:r/>
    </w:p>
    <w:p>
      <w:pPr>
        <w:jc w:val="center"/>
        <w:spacing w:line="480" w:lineRule="auto"/>
        <w:rPr>
          <w:rFonts w:ascii="宋体" w:hAnsi="宋体" w:cs="宋体"/>
          <w:b/>
          <w:bCs/>
          <w:color w:val="auto"/>
          <w:sz w:val="44"/>
          <w:szCs w:val="44"/>
          <w:highlight w:val="none"/>
        </w:rPr>
        <w:outlineLvl w:val="0"/>
      </w:pPr>
      <w:r>
        <w:rPr>
          <w:rFonts w:ascii="宋体" w:hAnsi="宋体" w:cs="宋体"/>
          <w:b/>
          <w:bCs/>
          <w:color w:val="auto"/>
          <w:sz w:val="44"/>
          <w:szCs w:val="44"/>
          <w:highlight w:val="none"/>
        </w:rPr>
      </w:r>
      <w:r/>
    </w:p>
    <w:p>
      <w:pPr>
        <w:jc w:val="center"/>
        <w:spacing w:line="480" w:lineRule="auto"/>
        <w:rPr>
          <w:rFonts w:ascii="宋体" w:hAnsi="宋体" w:cs="宋体"/>
          <w:b/>
          <w:bCs/>
          <w:color w:val="auto"/>
          <w:sz w:val="44"/>
          <w:szCs w:val="44"/>
          <w:highlight w:val="none"/>
        </w:rPr>
        <w:outlineLvl w:val="0"/>
      </w:pPr>
      <w:r>
        <w:rPr>
          <w:rFonts w:ascii="宋体" w:hAnsi="宋体" w:cs="宋体"/>
          <w:b/>
          <w:bCs/>
          <w:color w:val="auto"/>
          <w:sz w:val="44"/>
          <w:szCs w:val="44"/>
          <w:highlight w:val="none"/>
        </w:rPr>
      </w:r>
      <w:r/>
    </w:p>
    <w:p>
      <w:pPr>
        <w:jc w:val="center"/>
        <w:spacing w:line="480" w:lineRule="auto"/>
        <w:rPr>
          <w:rFonts w:ascii="宋体" w:hAnsi="宋体" w:cs="宋体"/>
          <w:b/>
          <w:bCs/>
          <w:color w:val="auto"/>
          <w:sz w:val="44"/>
          <w:szCs w:val="44"/>
          <w:highlight w:val="none"/>
        </w:rPr>
        <w:outlineLvl w:val="0"/>
      </w:pPr>
      <w:r>
        <w:rPr>
          <w:rFonts w:ascii="宋体" w:hAnsi="宋体" w:cs="宋体"/>
          <w:b/>
          <w:bCs/>
          <w:color w:val="auto"/>
          <w:sz w:val="44"/>
          <w:szCs w:val="44"/>
          <w:highlight w:val="none"/>
        </w:rPr>
      </w:r>
      <w:r/>
    </w:p>
    <w:p>
      <w:pPr>
        <w:jc w:val="center"/>
        <w:spacing w:line="480" w:lineRule="auto"/>
        <w:rPr>
          <w:rFonts w:hint="eastAsia" w:ascii="宋体" w:hAnsi="宋体" w:eastAsia="宋体" w:cs="宋体"/>
          <w:b/>
          <w:bCs/>
          <w:color w:val="auto"/>
          <w:sz w:val="44"/>
          <w:szCs w:val="44"/>
          <w:highlight w:val="none"/>
        </w:rPr>
        <w:outlineLvl w:val="0"/>
      </w:pPr>
      <w:r>
        <w:rPr>
          <w:rFonts w:hint="eastAsia" w:ascii="宋体" w:hAnsi="宋体" w:eastAsia="宋体" w:cs="宋体"/>
          <w:b/>
          <w:color w:val="auto"/>
          <w:sz w:val="44"/>
          <w:szCs w:val="21"/>
          <w:highlight w:val="none"/>
        </w:rPr>
        <w:t xml:space="preserve">总  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1"/>
        </w:numPr>
        <w:spacing w:line="480" w:lineRule="auto"/>
        <w:rPr>
          <w:rFonts w:hint="eastAsia" w:ascii="宋体" w:hAnsi="宋体" w:eastAsia="宋体" w:cs="宋体"/>
          <w:color w:val="auto"/>
          <w:sz w:val="32"/>
          <w:szCs w:val="21"/>
          <w:highlight w:val="none"/>
        </w:rPr>
        <w:outlineLvl w:val="0"/>
      </w:pPr>
      <w:r>
        <w:rPr>
          <w:rFonts w:hint="eastAsia" w:ascii="宋体" w:hAnsi="宋体" w:eastAsia="宋体" w:cs="宋体"/>
          <w:color w:val="auto"/>
          <w:sz w:val="36"/>
          <w:szCs w:val="21"/>
          <w:highlight w:val="none"/>
        </w:rPr>
        <w:t xml:space="preserve">磋商公告 </w:t>
      </w:r>
      <w:r/>
    </w:p>
    <w:p>
      <w:pPr>
        <w:numPr>
          <w:ilvl w:val="0"/>
          <w:numId w:val="1"/>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bCs/>
          <w:color w:val="auto"/>
          <w:sz w:val="36"/>
          <w:szCs w:val="36"/>
          <w:highlight w:val="none"/>
        </w:rPr>
        <w:t xml:space="preserve">供应商须知</w:t>
      </w:r>
      <w:r>
        <w:rPr>
          <w:rFonts w:hint="eastAsia" w:ascii="宋体" w:hAnsi="宋体" w:eastAsia="宋体" w:cs="宋体"/>
          <w:color w:val="auto"/>
          <w:sz w:val="36"/>
          <w:szCs w:val="21"/>
          <w:highlight w:val="none"/>
        </w:rPr>
        <w:t xml:space="preserve">  </w:t>
      </w:r>
      <w:r/>
    </w:p>
    <w:p>
      <w:pPr>
        <w:numPr>
          <w:ilvl w:val="0"/>
          <w:numId w:val="1"/>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1"/>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1"/>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bCs/>
          <w:color w:val="auto"/>
          <w:sz w:val="36"/>
          <w:szCs w:val="36"/>
          <w:highlight w:val="none"/>
        </w:rPr>
        <w:t xml:space="preserve">评审方法与评审标准</w:t>
      </w:r>
      <w:r/>
    </w:p>
    <w:p>
      <w:pPr>
        <w:numPr>
          <w:ilvl w:val="0"/>
          <w:numId w:val="1"/>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rPr>
          <w:rFonts w:ascii="宋体" w:hAnsi="宋体" w:cs="宋体"/>
          <w:color w:val="auto"/>
          <w:highlight w:val="none"/>
        </w:rPr>
      </w:pPr>
      <w:r>
        <w:rPr>
          <w:rFonts w:ascii="宋体" w:hAnsi="宋体" w:cs="宋体"/>
          <w:color w:val="auto"/>
          <w:highlight w:val="none"/>
        </w:rPr>
      </w:r>
      <w:r/>
    </w:p>
    <w:p>
      <w:pPr>
        <w:pStyle w:val="73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3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keepNext/>
        <w:rPr>
          <w:rFonts w:ascii="宋体" w:hAnsi="宋体" w:cs="宋体"/>
          <w:bCs/>
          <w:color w:val="auto"/>
          <w:sz w:val="44"/>
          <w:szCs w:val="44"/>
          <w:highlight w:val="none"/>
        </w:rPr>
        <w:outlineLvl w:val="0"/>
      </w:pPr>
      <w:r>
        <w:rPr>
          <w:rFonts w:hint="eastAsia" w:ascii="宋体" w:hAnsi="宋体" w:cs="宋体"/>
          <w:b/>
          <w:bCs/>
          <w:color w:val="auto"/>
          <w:sz w:val="44"/>
          <w:szCs w:val="44"/>
          <w:highlight w:val="none"/>
        </w:rPr>
        <w:t xml:space="preserve">第一章  磋商公告</w:t>
      </w:r>
      <w:r/>
    </w:p>
    <w:p>
      <w:pPr>
        <w:ind w:firstLine="420"/>
        <w:spacing w:line="360" w:lineRule="auto"/>
        <w:tabs>
          <w:tab w:val="left" w:pos="5694"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ab/>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2026年食堂食材采购及配送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项目的潜在供应商应在</w:t>
      </w:r>
      <w:r>
        <w:rPr>
          <w:rFonts w:hint="eastAsia" w:ascii="宋体" w:hAnsi="宋体" w:cs="宋体"/>
          <w:color w:val="auto"/>
          <w:szCs w:val="21"/>
          <w:highlight w:val="none"/>
          <w:u w:val="single"/>
        </w:rPr>
        <w:t xml:space="preserve">“苏采云”系统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获取采购文件，并</w:t>
      </w:r>
      <w:r>
        <w:rPr>
          <w:rFonts w:hint="eastAsia" w:ascii="宋体" w:hAnsi="宋体" w:cs="宋体"/>
          <w:bCs/>
          <w:color w:val="auto"/>
          <w:szCs w:val="21"/>
          <w:highlight w:val="none"/>
        </w:rPr>
        <w:t xml:space="preserve">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 </w:t>
      </w:r>
      <w:r>
        <w:rPr>
          <w:rFonts w:hint="eastAsia" w:ascii="宋体" w:hAnsi="宋体" w:cs="宋体"/>
          <w:bCs/>
          <w:color w:val="auto"/>
          <w:szCs w:val="21"/>
          <w:highlight w:val="none"/>
          <w:u w:val="single"/>
          <w:lang w:val="en-US" w:eastAsia="zh-CN"/>
        </w:rPr>
        <w:t xml:space="preserve">1</w:t>
      </w:r>
      <w:r>
        <w:rPr>
          <w:rFonts w:hint="eastAsia" w:ascii="宋体" w:hAnsi="宋体" w:cs="宋体"/>
          <w:bCs/>
          <w:color w:val="auto"/>
          <w:szCs w:val="21"/>
          <w:highlight w:val="none"/>
          <w:u w:val="single"/>
        </w:rPr>
        <w:t xml:space="preserve"> 月 </w:t>
      </w:r>
      <w:r>
        <w:rPr>
          <w:rFonts w:hint="eastAsia" w:ascii="宋体" w:hAnsi="宋体" w:cs="宋体"/>
          <w:bCs/>
          <w:color w:val="auto"/>
          <w:szCs w:val="21"/>
          <w:highlight w:val="none"/>
          <w:u w:val="single"/>
          <w:lang w:val="en-US" w:eastAsia="zh-CN"/>
        </w:rPr>
        <w:t xml:space="preserve"> 27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 xml:space="preserve">日14点00分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JSZC-320500-SZHT-C2026-0001</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2026年食堂食材采购及配送</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、预算金额：人民币壹佰肆拾贰万叁仟壹佰元整（小写：1423100.00元）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、最高限价：人民币壹佰肆拾贰万叁仟壹佰元整（小写：1423100.00元）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目的：苏州市网球和水上运动业余体校师生全年一日三餐，每餐125人左右（根据每年运动队外训、比赛实际，就餐人数酌减），为切实加强学校食堂食品卫生安全管理及物资采购管理水平，进一步提高食堂饭菜质量，确保食堂食材采购价格公开、透明、合理，对食堂所需食材“统一招标、集中采购、定点配送”的模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.2主要采购内容：蔬菜类、鲜肉类、家禽类、蛋类、水产类、冻品、半成品、水果、粮油、副食、干货、杂货、奶制品、调味配料等。</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cs="宋体"/>
          <w:b w:val="0"/>
          <w:bCs w:val="0"/>
          <w:color w:val="auto"/>
          <w:szCs w:val="21"/>
          <w:highlight w:val="none"/>
        </w:rPr>
        <w:t xml:space="preserve">、合同履行期限：1年</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2026年2月28日至2027年2月27日。</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8</w:t>
      </w:r>
      <w:r>
        <w:rPr>
          <w:rFonts w:hint="eastAsia" w:ascii="宋体" w:hAnsi="宋体" w:cs="宋体"/>
          <w:b w:val="0"/>
          <w:bCs w:val="0"/>
          <w:color w:val="auto"/>
          <w:szCs w:val="21"/>
          <w:highlight w:val="none"/>
        </w:rPr>
        <w:t xml:space="preserve">、本项目不接受联合体投标、不允许分包、不允许转包。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 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具有履行合同所必须的设备和专业技术能力；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 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符合法律、行政法规规定的其他条件。</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2、落实政府采购政策需满足的资格要求：本项目专门面向中小企业采购，所属行业为餐饮业。供应商须为中小微企业或残疾人福利性单位或监狱企业。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（1）有效期内的《食品经营许可证》；</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（2）未被“信用中国”网站或“中国政府采购网”网站列入失信被执行人、重大税收违法案件当事人名单、政府采购严重失信行为记录名单；</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三、获取采购文件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1 </w:t>
      </w:r>
      <w:r>
        <w:rPr>
          <w:rFonts w:hint="eastAsia" w:ascii="宋体" w:hAnsi="宋体" w:cs="宋体"/>
          <w:color w:val="auto"/>
          <w:szCs w:val="21"/>
          <w:highlight w:val="none"/>
        </w:rPr>
        <w:t xml:space="preserve">月 </w:t>
      </w:r>
      <w:r>
        <w:rPr>
          <w:rFonts w:hint="eastAsia" w:ascii="宋体" w:hAnsi="宋体" w:cs="宋体"/>
          <w:color w:val="auto"/>
          <w:szCs w:val="21"/>
          <w:highlight w:val="none"/>
          <w:lang w:val="en-US" w:eastAsia="zh-CN"/>
        </w:rPr>
        <w:t xml:space="preserve">14 </w:t>
      </w:r>
      <w:r>
        <w:rPr>
          <w:rFonts w:hint="eastAsia" w:ascii="宋体" w:hAnsi="宋体" w:cs="宋体"/>
          <w:color w:val="auto"/>
          <w:szCs w:val="21"/>
          <w:highlight w:val="none"/>
        </w:rPr>
        <w:t xml:space="preserve">日至202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 1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22  </w:t>
      </w:r>
      <w:r>
        <w:rPr>
          <w:rFonts w:hint="eastAsia" w:ascii="宋体" w:hAnsi="宋体" w:cs="宋体"/>
          <w:color w:val="auto"/>
          <w:szCs w:val="21"/>
          <w:highlight w:val="none"/>
        </w:rPr>
        <w:t xml:space="preserve">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2.方式：苏采云系统自行下载。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2.1 CA证书办理</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val="0"/>
          <w:bCs w:val="0"/>
          <w:color w:val="auto"/>
          <w:szCs w:val="21"/>
          <w:highlight w:val="none"/>
        </w:rPr>
        <w:t xml:space="preserve">“苏采云”系统目前仅支持“苏采云”系统下的政务CA证书，江苏省内各地区办理的“苏采云”系统下的政务CA证书全省通用。</w:t>
      </w:r>
      <w:r>
        <w:rPr>
          <w:rFonts w:hint="eastAsia" w:ascii="宋体" w:hAnsi="宋体" w:cs="宋体"/>
          <w:b/>
          <w:bCs/>
          <w:color w:val="auto"/>
          <w:szCs w:val="21"/>
          <w:highlight w:val="none"/>
        </w:rPr>
        <w:t xml:space="preserve">苏州现场办理地址：苏州市高新区邓尉路105号狮山科技馆一楼服务大厅，咨询电话：0512 65737699。</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w:t>
      </w:r>
      <w:r>
        <w:rPr>
          <w:rFonts w:hint="eastAsia" w:ascii="宋体" w:hAnsi="宋体" w:cs="宋体"/>
          <w:color w:val="auto"/>
          <w:szCs w:val="21"/>
          <w:highlight w:val="none"/>
          <w:lang w:eastAsia="zh-CN"/>
        </w:rPr>
        <w:t xml:space="preserve">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2.3电子投标（响应）准备</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注册咨询：13914088964；</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签章使用问题：025-83633811、025-83633812、15380932027、15380932027、15371015030；</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系统使用指导与咨询:联系电话:13914088964、0512-69820854;智能客服:登录苏采云系统后，联系系统右下方智能客服图标进行咨询。</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四、提交响应文件截止时间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1.响应文件接收截止时间：202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 </w:t>
      </w:r>
      <w:r>
        <w:rPr>
          <w:rFonts w:hint="eastAsia" w:ascii="宋体" w:hAnsi="宋体" w:cs="宋体"/>
          <w:color w:val="auto"/>
          <w:szCs w:val="21"/>
          <w:highlight w:val="none"/>
          <w:lang w:val="en-US" w:eastAsia="zh-CN"/>
        </w:rPr>
        <w:t xml:space="preserve">1 </w:t>
      </w:r>
      <w:r>
        <w:rPr>
          <w:rFonts w:hint="eastAsia" w:ascii="宋体" w:hAnsi="宋体" w:cs="宋体"/>
          <w:color w:val="auto"/>
          <w:szCs w:val="21"/>
          <w:highlight w:val="none"/>
        </w:rPr>
        <w:t xml:space="preserve"> 月 </w:t>
      </w:r>
      <w:r>
        <w:rPr>
          <w:rFonts w:hint="eastAsia" w:ascii="宋体" w:hAnsi="宋体" w:cs="宋体"/>
          <w:color w:val="auto"/>
          <w:szCs w:val="21"/>
          <w:highlight w:val="none"/>
          <w:lang w:val="en-US" w:eastAsia="zh-CN"/>
        </w:rPr>
        <w:t xml:space="preserve">27 </w:t>
      </w:r>
      <w:r>
        <w:rPr>
          <w:rFonts w:hint="eastAsia" w:ascii="宋体" w:hAnsi="宋体" w:cs="宋体"/>
          <w:color w:val="auto"/>
          <w:szCs w:val="21"/>
          <w:highlight w:val="none"/>
        </w:rPr>
        <w:t xml:space="preserve">日14点00 分（北京时间）。</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2.地点：“苏采云”系统（网址：http://jszfcg.jsczt.cn/）。</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3.方式：响应文件网上递交，不需要现场参加采购活动，无需提供纸质响应文件。</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 月 </w:t>
      </w:r>
      <w:r>
        <w:rPr>
          <w:rFonts w:hint="eastAsia" w:ascii="宋体" w:hAnsi="宋体" w:cs="宋体"/>
          <w:color w:val="auto"/>
          <w:szCs w:val="21"/>
          <w:highlight w:val="none"/>
          <w:lang w:val="en-US" w:eastAsia="zh-CN"/>
        </w:rPr>
        <w:t xml:space="preserve">27  </w:t>
      </w:r>
      <w:r>
        <w:rPr>
          <w:rFonts w:hint="eastAsia" w:ascii="宋体" w:hAnsi="宋体" w:cs="宋体"/>
          <w:color w:val="auto"/>
          <w:szCs w:val="21"/>
          <w:highlight w:val="none"/>
        </w:rPr>
        <w:t xml:space="preserve">日14点00分（北京时间）；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请供应商确保电脑、系统及其他设备（视频输入输出设备等）无误，且开标直至项目结束始终保持系统在线状态。</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numPr>
          <w:ilvl w:val="0"/>
          <w:numId w:val="2"/>
        </w:num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1.本响应文件网上递交，不需要现场参加采购活动，无需提供纸质响应文件。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2.为采购项目提供整体设计、规范编制或者项目管理、监理、检测等服务的供应商，不得再参加该采购项目的其他采购活动。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3.本次采购的相关信息刊登在江苏政府采购网及苏州市政府采购网。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4.苏州市政府采购监督电话：0512-68616651。</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八、本次采购联系方式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苏州市网球和水上运动业余体校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地址：苏州工业园区月亮湾路7号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联系人：邓向东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联系方式：0512-69566271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2、采购代理机构信息 </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名称：苏州恒泰招投标咨询服务有限公司</w:t>
      </w:r>
      <w:r/>
    </w:p>
    <w:p>
      <w:pPr>
        <w:ind w:firstLine="420"/>
        <w:jc w:val="left"/>
        <w:spacing w:line="360" w:lineRule="auto"/>
        <w:rPr>
          <w:rFonts w:ascii="宋体" w:hAnsi="宋体"/>
          <w:bCs/>
          <w:color w:val="auto"/>
          <w:szCs w:val="21"/>
          <w:highlight w:val="none"/>
        </w:rPr>
      </w:pPr>
      <w:r>
        <w:rPr>
          <w:rFonts w:ascii="宋体" w:hAnsi="宋体"/>
          <w:bCs/>
          <w:color w:val="auto"/>
          <w:szCs w:val="21"/>
          <w:highlight w:val="none"/>
        </w:rPr>
        <w:t xml:space="preserve">地址：</w:t>
      </w:r>
      <w:r>
        <w:rPr>
          <w:rFonts w:hint="eastAsia" w:ascii="宋体" w:hAnsi="宋体"/>
          <w:bCs/>
          <w:color w:val="auto"/>
          <w:szCs w:val="21"/>
          <w:highlight w:val="none"/>
        </w:rPr>
        <w:t xml:space="preserve">苏州市阳澄湖东路168号241-202室（苏州恒泰招标公司）</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联系方式</w:t>
      </w:r>
      <w:r>
        <w:rPr>
          <w:rFonts w:ascii="宋体" w:hAnsi="宋体"/>
          <w:bCs/>
          <w:color w:val="auto"/>
          <w:szCs w:val="21"/>
          <w:highlight w:val="none"/>
        </w:rPr>
        <w:t xml:space="preserve">：</w:t>
      </w:r>
      <w:r>
        <w:rPr>
          <w:rFonts w:hint="eastAsia" w:ascii="宋体" w:hAnsi="宋体"/>
          <w:bCs/>
          <w:color w:val="auto"/>
          <w:szCs w:val="21"/>
          <w:highlight w:val="none"/>
        </w:rPr>
        <w:t xml:space="preserve">0512-62728826</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3、项目联系方式</w:t>
      </w:r>
      <w:r/>
    </w:p>
    <w:p>
      <w:pPr>
        <w:ind w:firstLine="420"/>
        <w:jc w:val="left"/>
        <w:spacing w:line="360" w:lineRule="auto"/>
        <w:rPr>
          <w:rFonts w:hint="eastAsia" w:ascii="宋体" w:hAnsi="宋体" w:eastAsia="宋体"/>
          <w:bCs/>
          <w:color w:val="auto"/>
          <w:szCs w:val="21"/>
          <w:highlight w:val="none"/>
          <w:lang w:eastAsia="zh-CN"/>
        </w:rPr>
      </w:pPr>
      <w:r>
        <w:rPr>
          <w:rFonts w:ascii="宋体" w:hAnsi="宋体"/>
          <w:bCs/>
          <w:color w:val="auto"/>
          <w:szCs w:val="21"/>
          <w:highlight w:val="none"/>
        </w:rPr>
        <w:t xml:space="preserve">联系人：</w:t>
      </w:r>
      <w:r>
        <w:rPr>
          <w:rFonts w:hint="eastAsia" w:ascii="宋体" w:hAnsi="宋体"/>
          <w:bCs/>
          <w:color w:val="auto"/>
          <w:szCs w:val="21"/>
          <w:highlight w:val="none"/>
        </w:rPr>
        <w:t xml:space="preserve">樊亚男、蔡艳平</w:t>
      </w:r>
      <w:r>
        <w:rPr>
          <w:rFonts w:hint="eastAsia" w:ascii="宋体" w:hAnsi="宋体"/>
          <w:bCs/>
          <w:color w:val="auto"/>
          <w:szCs w:val="21"/>
          <w:highlight w:val="none"/>
          <w:lang w:eastAsia="zh-CN"/>
        </w:rPr>
        <w:t xml:space="preserve">、胡玲玲</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联系方式</w:t>
      </w:r>
      <w:r>
        <w:rPr>
          <w:rFonts w:ascii="宋体" w:hAnsi="宋体"/>
          <w:bCs/>
          <w:color w:val="auto"/>
          <w:szCs w:val="21"/>
          <w:highlight w:val="none"/>
        </w:rPr>
        <w:t xml:space="preserve">：</w:t>
      </w:r>
      <w:r>
        <w:rPr>
          <w:rFonts w:hint="eastAsia" w:ascii="宋体" w:hAnsi="宋体"/>
          <w:bCs/>
          <w:color w:val="auto"/>
          <w:szCs w:val="21"/>
          <w:highlight w:val="none"/>
        </w:rPr>
        <w:t xml:space="preserve">0512-62728826</w:t>
      </w:r>
      <w:r/>
    </w:p>
    <w:p>
      <w:pPr>
        <w:pStyle w:val="764"/>
        <w:rPr>
          <w:color w:val="auto"/>
          <w:highlight w:val="none"/>
        </w:rPr>
      </w:pPr>
      <w:r>
        <w:rPr>
          <w:color w:val="auto"/>
          <w:highlight w:val="none"/>
        </w:rPr>
      </w:r>
      <w:r/>
    </w:p>
    <w:p>
      <w:pPr>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ind w:firstLine="883"/>
        <w:jc w:val="center"/>
        <w:spacing w:line="360" w:lineRule="auto"/>
        <w:rPr>
          <w:rFonts w:ascii="宋体" w:hAnsi="宋体" w:cs="宋体"/>
          <w:color w:val="auto"/>
          <w:sz w:val="24"/>
          <w:highlight w:val="none"/>
        </w:rPr>
      </w:pPr>
      <w:r>
        <w:rPr>
          <w:rFonts w:hint="eastAsia" w:ascii="宋体" w:hAnsi="宋体" w:cs="宋体"/>
          <w:b/>
          <w:bCs/>
          <w:color w:val="auto"/>
          <w:sz w:val="44"/>
          <w:szCs w:val="44"/>
          <w:highlight w:val="none"/>
        </w:rPr>
        <w:t xml:space="preserve">第二章 供应商须知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一、总则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 本次政府采购活动采取竞争性磋商(以下简称磋商)方式，本磋商文件仅适用于磋商公告中所述项目。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2.1满足磋商公告中供应商资格要求的规定。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 满足本磋商文件实质性要求和条件的规定。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 本次磋商及由此产生的合同受中华人民共和国有关的法律法规制约和保护。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4、磋商费用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4.1供应商应自行承担所有与参加本次磋商有关的费用，无论磋商过程中的做法和结果如何，采购人、苏州恒泰招投标咨询服务有限公司（以下简称招标代理机构）在任何情况下均无义务和责任承担这些费用。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本次磋商成交服务费由成交供应商支付。按差额定率累进法计算收取，成交单位在领取成交通知书时向采购代理机构一次性付清。预算金额100万以下费率为预算金额的1.5%；预算金额100万（含）-500万费率为预算金额的1.1%； 预算金额500万（含）-1000万费率为预算金额的0.8%。（</w:t>
      </w:r>
      <w:r>
        <w:rPr>
          <w:rFonts w:hint="eastAsia" w:ascii="宋体" w:hAnsi="宋体" w:cs="宋体"/>
          <w:color w:val="auto"/>
          <w:szCs w:val="21"/>
          <w:highlight w:val="none"/>
          <w:lang w:eastAsia="zh-CN"/>
        </w:rPr>
        <w:t xml:space="preserve">磋商响应</w:t>
      </w:r>
      <w:r>
        <w:rPr>
          <w:rFonts w:hint="eastAsia" w:ascii="宋体" w:hAnsi="宋体" w:cs="宋体"/>
          <w:color w:val="auto"/>
          <w:szCs w:val="21"/>
          <w:highlight w:val="none"/>
        </w:rPr>
        <w:t xml:space="preserve">报价应包含该项目的代理服务费。）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成交服务费账户名：苏州恒泰招投标咨询服务有限公司，账号：10553901040010019，开户银行：中国农业银行苏州国贸支行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请成交供应商将公司开票信息以Word文档格式发送至邮箱：hengtaizhaobiao@</w:t>
      </w:r>
      <w:r>
        <w:rPr>
          <w:rFonts w:hint="eastAsia" w:ascii="宋体" w:hAnsi="宋体" w:cs="宋体"/>
          <w:color w:val="auto"/>
          <w:szCs w:val="21"/>
          <w:highlight w:val="none"/>
          <w:lang w:val="en-US" w:eastAsia="zh-CN"/>
        </w:rPr>
        <w:t xml:space="preserve">126</w:t>
      </w:r>
      <w:r>
        <w:rPr>
          <w:rFonts w:hint="eastAsia" w:ascii="宋体" w:hAnsi="宋体" w:cs="宋体"/>
          <w:color w:val="auto"/>
          <w:szCs w:val="21"/>
          <w:highlight w:val="none"/>
        </w:rPr>
        <w:t xml:space="preserve">.com。成交供应商凭已缴纳代理服务费的银行回单至代理机构领取合同。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磋商保证金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本项目无须交纳磋商保证金，响应单位应在响应文件中提交《投标（响应）保证承诺书》（格式详见第六章）。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5、磋商文件的约束力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5.1供应商一旦参加本项目采购活动，即被认为接受了本磋商文件的规定和约束。</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二、磋商文件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6、磋商文件构成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6.1磋商文件由以下部分组成：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（1）磋商</w:t>
      </w:r>
      <w:r>
        <w:rPr>
          <w:rFonts w:hint="eastAsia" w:ascii="宋体" w:hAnsi="宋体" w:cs="宋体"/>
          <w:color w:val="auto"/>
          <w:szCs w:val="21"/>
          <w:highlight w:val="none"/>
          <w:lang w:eastAsia="zh-CN"/>
        </w:rPr>
        <w:t xml:space="preserve">公告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（2）供应商须知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（3）合同文本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（6）响应文件格式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请仔细检查磋商文件是否齐全，如有缺漏请立即与招标代理机构联系解决。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7、磋商文件的澄清和修改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7.2采购人可以视采购项目的具体情况，组织供应商进行现场考察或召开磋商前答疑会，但不单独或分别组织只有一个供应商参加的现场考察和答疑会。</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三、响应文件的编制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8、响应文件的语言及度量衡单位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8.1供应商提交的响应文件以及供应商与招标代理机构就有关磋商的所有来往通知、函件和文件均应使用简体中文。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 除技术性能另有规定外，响应文件所使用的度量衡单位，均须采用国家法定计量单位。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9、响应文件构成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9.1供应商编写的响应文件应包括资格证明文件、符合性证明文件、分项报价表、</w:t>
      </w:r>
      <w:r>
        <w:rPr>
          <w:rFonts w:ascii="SimSun" w:hAnsi="SimSun" w:eastAsia="SimSun" w:cs="SimSun"/>
          <w:color w:val="000000"/>
          <w:sz w:val="21"/>
        </w:rPr>
        <w:t xml:space="preserve">服务要求响应及偏离表、商务要求响应及偏离表</w:t>
      </w:r>
      <w:r>
        <w:rPr>
          <w:rFonts w:hint="eastAsia" w:ascii="宋体" w:hAnsi="宋体" w:cs="宋体"/>
          <w:color w:val="auto"/>
          <w:szCs w:val="21"/>
          <w:highlight w:val="none"/>
        </w:rPr>
        <w:t xml:space="preserve">、其他证明文件、磋商响应函等部分。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9.1.1资格审查响应文件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（1）关于资格文件的声明函（格式见第六章）；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（2）磋商供应商情况表（格式见第六章）；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（3）磋商响应单位法定代表人身份证复印件；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（4）法定代表人授权委托书及授权代理人身份证复印件（如有授权，格式见第六章）；</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（5）合格供应商的基本条件：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①具有独立承担民事责任的能力证明。包括法人或者其他组织的营业执照等证明文件，自然人的身份证明；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②具有良好的商业信誉和健全的财务会计制度证明（法人应提供最近一期的财务报告，其他组织、自然人及成立未满一年的法人应提供银行出具的资信证明）；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③履行合同所必需的设备和专业技术能力的证明材料或承诺；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⑤参加政府采购活动前三年内在经营活动中没有重大违法记录的书面声明函；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（6）《中小企业声明函》或《残疾人福利性单位声明函》或由省级以上监狱管理局、戒毒管理局（含新疆生产建设兵团）出具的属于监狱企业的证明文件；</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本项目的特定资格要求</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有效期内的《食品经营许可证》</w:t>
      </w:r>
      <w:r>
        <w:rPr>
          <w:rFonts w:hint="eastAsia" w:ascii="宋体" w:hAnsi="宋体" w:cs="宋体"/>
          <w:bCs/>
          <w:color w:val="auto"/>
          <w:szCs w:val="21"/>
          <w:highlight w:val="none"/>
        </w:rPr>
        <w:t xml:space="preserve">。</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9.1.2符合性审查响应文件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磋商响应函（格式见第六章）；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磋商响应报价表（格式见第六章）；</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（3）投标（响应）保证承诺书（格式见第六章）；</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（4）偏离表（服务要求偏离表、商务条款偏离表）（格式见第六章）；</w:t>
      </w:r>
      <w:r/>
    </w:p>
    <w:p>
      <w:pPr>
        <w:ind w:firstLine="420"/>
        <w:spacing w:line="360" w:lineRule="auto"/>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（5）其他有关符合性证明的文件；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9.1.3综合评审响应文件</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投入本项目主要设备一览表</w:t>
      </w:r>
      <w:r>
        <w:rPr>
          <w:rFonts w:hint="eastAsia" w:ascii="宋体" w:hAnsi="宋体" w:cs="宋体"/>
          <w:color w:val="auto"/>
          <w:szCs w:val="21"/>
          <w:highlight w:val="none"/>
        </w:rPr>
        <w:t xml:space="preserve">（格式见第六章）；</w:t>
      </w:r>
      <w:r/>
    </w:p>
    <w:p>
      <w:pPr>
        <w:ind w:firstLine="420"/>
        <w:spacing w:line="360" w:lineRule="auto"/>
        <w:rPr>
          <w:rFonts w:hint="eastAsia" w:ascii="宋体" w:hAnsi="宋体" w:eastAsia="宋体" w:cs="宋体"/>
          <w:color w:val="auto"/>
          <w:szCs w:val="21"/>
          <w:highlight w:val="none"/>
          <w:lang w:eastAsia="zh-CN"/>
        </w:rPr>
      </w:pPr>
      <w:r>
        <w:rPr>
          <w:rFonts w:hint="eastAsia"/>
          <w:color w:val="auto"/>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）项目服务人员配置表（格式见第六章）；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）类似项目业绩一览表（格式见第六章）；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）所需材料详见第五章评分标准。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）与本次采购相关的其他证明材料；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9.1.4对属于《节能产品政府采购品目清单》政府强制采购产品的，需提供该产品有效期内的认证等相关证明材料（如有）。</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注：①以上9.1.1为资格审查要求提供的材料，是作为对供应商资格审查、质疑身份认定的依据，响应供应商必须提供并加盖电子公章。否则，磋商响应文件将被认定为不符合资格审查要求。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②以上9.1.2为符合性审查须提供的资料，响应供应商必须提供并加盖电子公章。否则，磋商响应文件将被认定为未实质性响应。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③制作电子响应文件时必须与响应文件制作软件目录一一对应，将相关资料上传至相应模块。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 如标书制作工具中格式和内容与“苏州市政府采购网”发布的磋商文件不一致，请以“苏州市政府采购网”发布的磋商文件为准。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10、证明磋商响应标的符合磋商文件规定的文件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10.1供应商应按照磋商文件要求提交证明文件，证明其及磋商响应标的符合磋商文件规定。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10.2磋商文件对证明文件无明确形式要求的，证明文件可以以文字资料、图纸和数据等形式提交。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11、分项报价表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11.1供应商应按照磋商文件规定格式填报分项报价表。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11.2响应货币。响应文件中的单价和总价无特殊规定的采用人民币报价，以元为单位标注。磋商文件中另有规定的按规定执行。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12、技术要求响应及偏离表、商务要求响应及偏离表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12.1供应商需对磋商文件中的技术要求与商务要求逐项作出响应或偏离，并说明原因。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12.2供应商可在响应文件中提供认为需要的其他技术文件或说明。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13、磋商响应函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13.1供应商应按照磋商文件中提供的格式完整、正确填写磋商响应函。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14、磋商有效期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14.1磋商有效期为招标代理机构规定的提交响应文件截止之日后九十（90）天。磋商有效期比规定短的将被视为非实质性响应磋商文件而予以拒绝。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15、磋商有效期的延长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16、电子响应文件的递交</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17、提交响应文件截止时间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17.1供应商上传电子响应文件的时间不得迟于磋商公告中规定的提交响应文件截止时间。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供应商应充分考虑到网络环境、网络带宽等风险因素，如因供应商自身原因造成的电子响应文件上传不成功的做无效响应处理。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 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18、响应文件的拒收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 招标代理机构拒绝接收在其规定的提交响应文件截止时间后上传的任何电子响应文件。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19、响应文件的撤回和修改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19.1响应文件的撤回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19.1.1 电子响应文件的撤回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供应商可在提交响应文件截止时间前，撤回其电子响应文件，具体操作方法见《苏采云系统供应商操作手册》。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19.1.2供应商撤回电子响应文件，则认为其不再参与本项目磋商活动。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19.2响应文件的修改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供应商可在提交响应文件截止时间前，对其电子响应文件进行修改，具体操作方法见《苏采云系统供应商操作手册》。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19.3 在提交响应文件截止时间之后，供应商不得对其电子响应文件作任何修改。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19.4 在提交响应文件截止时间至磋商文件中规定的磋商有效期满之间的这段时间内，供应商不得撤回其响应文件。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五、响应文件的解密与评审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20、响应文件解密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20.1供应商应当按照《苏采云系统供应商操作手册》规定，在苏采云系统规定的时间内对响应文件进行解密。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21、磋商小组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21.1招标代理机构将组织磋商小组对响应文件进行评审。磋商小组由采购人代表和有关技术、经济等方面的专家组成，且人员构成符合政府采购有关规定。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21.2磋商小组独立工作，负责评审所有响应文件并确定成交侯选人。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22、评审过程的保密与公正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22.1磋商小组、采购人和招标代理机构、相关监督人员等与评审工作有关的人员，对评审情况以及在评审过程中获悉的国家秘密、商业秘密负有保密责任。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22.2在评审过程中，供应商不得以任何行为影响磋商评审过程，否则其响应文件将被作为无效响应文件。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 招标代理机构和磋商小组不向未成交的供应商解释未成交原因，也不公布评审过程中的相关细节。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23、评审过程中的的澄清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 接到磋商小组澄清、说明和更正要求的供应商如未按规定做出澄清、说明和更正，其风险由供应商自行承担。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24、对响应文件的审查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24.1响应文件审查分为资格审查和符合性审查。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24.1.1 资格审查：由磋商小组依据法律法规和磋商文件的规定，对响应文件中的资格证明文件进行审查，以确定供应商是否具备参加磋商的资格。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磋商小组在进行资格审查的同时，将在“信用中国”网站（www.creditchina.gov.cn）查询供应商的信用记录，以确定供应商是否具备响应资格,查询结果留存并归档。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24.1.3 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24.3未实质性响应磋商文件的情形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24.3.1供应商在苏采云系统规定的时间内未成功解密电子响应文件的。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24.3.2供应商未按照磋商文件要求上传电子响应文件的。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24.3.3同一供应商提交两个（含两个）以上不同的响应文件或者最后报价的。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24.3.4供应商不具备磋商文件中规定资格要求的。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24.3.5供应商的报价超过了采购预算或最高限价。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24.3.6不符合磋商文件中规定的实质性要求和条件的。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24.3.8 响应文件含有采购人不能接受的附加条件的。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不同投标（响应）文件制作机器码一致的。</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24.3.</w:t>
      </w:r>
      <w:r>
        <w:rPr>
          <w:rFonts w:hint="eastAsia" w:ascii="宋体" w:hAnsi="宋体" w:cs="宋体"/>
          <w:b w:val="0"/>
          <w:bCs w:val="0"/>
          <w:color w:val="auto"/>
          <w:szCs w:val="21"/>
          <w:highlight w:val="none"/>
          <w:lang w:val="en-US" w:eastAsia="zh-CN"/>
        </w:rPr>
        <w:t xml:space="preserve">10</w:t>
      </w:r>
      <w:r>
        <w:rPr>
          <w:rFonts w:hint="eastAsia" w:ascii="宋体" w:hAnsi="宋体" w:cs="宋体"/>
          <w:b w:val="0"/>
          <w:bCs w:val="0"/>
          <w:color w:val="auto"/>
          <w:szCs w:val="21"/>
          <w:highlight w:val="none"/>
        </w:rPr>
        <w:t xml:space="preserve">响应文件未按照磋商文件要求加盖CA电子公章或签署的。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法律、法规和招标文件规定的其他无效情形。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24.4未实质性响应磋商文件的响应文件按无效响应处理。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24.5如果响应文件实质上没有响应磋商文件的要求，磋商小组将予以拒绝，供应商不得通过修改或撤销不合要求的偏离或保留而使其成为实质性响应的文件。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24.6供应商在项目评审全过程中应保持通讯畅通，并安排专人与招标代理机构及磋商小组联系。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24.7供应商应当遵循公平竞争的原则，不得恶意串通，不得妨碍其他供应商的竞争行为，不得损害采购人或者其他供应商的合法权益，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24.8在评审过程中发现供应商有下述情形的，磋商小组应当认定其响应无效，并书面报告本级财政部门。有下列情形之一的，视为供应商串通投标，其响应无效: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24.8.1不同供应商的响应文件由同一单位或者个人编制；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24.8.2不同供应商委托同一单位或者个人办理投标事宜；</w:t>
      </w:r>
      <w:r/>
    </w:p>
    <w:p>
      <w:pPr>
        <w:ind w:left="630" w:hanging="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24.8.3不同供应商的响应文件载明的项目管理成员或者联系人员为同一人；</w:t>
      </w:r>
      <w:r/>
    </w:p>
    <w:p>
      <w:pPr>
        <w:ind w:left="630" w:hanging="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24.8.4不供应商的响应文件异常一致或者报价呈规律性差异；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24.8.5不同供应商的响应文件相互混装。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25、磋商程序及成交原则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25.1磋商程序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 25.1.2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auto"/>
          <w:szCs w:val="21"/>
          <w:highlight w:val="none"/>
        </w:rPr>
        <w:t xml:space="preserve">除因磋商文件修改导致成本增加外，二次报价不得超过第一次报价，否则为无效响应报价。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25.1.3</w:t>
      </w:r>
      <w:r>
        <w:rPr>
          <w:rFonts w:hint="eastAsia" w:ascii="宋体" w:hAnsi="宋体" w:cs="宋体"/>
          <w:b/>
          <w:bCs/>
          <w:color w:val="auto"/>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最后报价格式表须加盖CA电子公章,否则视为未提交最后报价。</w:t>
      </w:r>
      <w:r>
        <w:rPr>
          <w:rFonts w:hint="eastAsia" w:ascii="宋体" w:hAnsi="宋体" w:cs="宋体"/>
          <w:color w:val="auto"/>
          <w:szCs w:val="21"/>
          <w:highlight w:val="none"/>
        </w:rPr>
        <w:t xml:space="preserve">已提交响应文件的供应商，在提交最后报价之前，可以根据磋商情况退出磋商响应，并在苏采云系统中提交“退出响应函”并加盖CA电子公章。</w:t>
      </w:r>
      <w:r/>
    </w:p>
    <w:p>
      <w:pPr>
        <w:pStyle w:val="735"/>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71"/>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*进入项目评审流程后，建议各供应商法定代表人或授权委托人始终保持通讯顺畅，时刻关注不见面开标大厅，不离开不见面开标大厅。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25.2 成交原则</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25.2.1本次评审采用综合评分法，由磋商小组对磋商供应商的响应文件进行综合评分。（具体详见第五章评审方法与评审标准）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25.2.2 采购人确定成交供应商后，采购中心将在“苏州市政府采购网”发布成交结果公告，公告期限为1个工作日。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25.3采购活动终止的情况</w:t>
      </w:r>
      <w:r/>
    </w:p>
    <w:p>
      <w:pPr>
        <w:pStyle w:val="735"/>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出现下列情形之一的，本次竞争性磋商采购活动将被终止：</w:t>
      </w:r>
      <w:r/>
    </w:p>
    <w:p>
      <w:pPr>
        <w:pStyle w:val="735"/>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25.3.1因情况变化，不再符合规定的竞争性磋商采购方式适用情形的。</w:t>
      </w:r>
      <w:r/>
    </w:p>
    <w:p>
      <w:pPr>
        <w:pStyle w:val="735"/>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25.3.2出现影响采购公正的违法、违规行为的。</w:t>
      </w:r>
      <w:r/>
    </w:p>
    <w:p>
      <w:pPr>
        <w:pStyle w:val="735"/>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25.3.3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73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25.3.</w:t>
      </w:r>
      <w:r>
        <w:rPr>
          <w:rFonts w:hint="eastAsia" w:ascii="宋体" w:hAnsi="宋体" w:cs="宋体"/>
          <w:bCs/>
          <w:color w:val="auto"/>
          <w:sz w:val="21"/>
          <w:szCs w:val="21"/>
          <w:highlight w:val="none"/>
        </w:rPr>
        <w:t xml:space="preserve">4在苏采云系统规定时间内成功解密电子响应文件的供应商不足3家的。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26、成交供应商被取消成交资格情形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若有充分证据证明，成交供应商出现下列情况之一的，一经查实，将被取消成交资格：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26.1提供虚假材料谋取成交的。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26.2与评审专家、采购人、其他供应商或者招标代理机构工作人员恶意串通的。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26.3向评审专家、采购人或招标代理机构工作人员行贿或者提供其他不正当利益的。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26.4恶意竞争，最后报价明显低于其自身合理成本且又无法提供证明的。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26.5不满足本磋商文件规定的实质性要求，但在评审过程中又未被磋商小组发现的。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26.6成交后无正当理由拒不与采购人签订政府采购合同或者未按照磋商文件确定的事项签订政府采购合同的。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26.7将政府采购合同转包的。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27、联合体响应、分包、转包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27.1本项目不接受联合体响应、不接受分包、不接受转包。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28、质疑处理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28.1 质疑及答复遵守《政府采购质疑和投诉办法》（中华人民共和国财政部令第 94 号）规定。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 供应商应当在法定质疑期内一次性提出针对同一采购程序环节的质疑。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28.5 接收质疑函的方式为书面形式（当场送达或邮寄方式）。供应商质疑函范本格式请参照“苏州市政府采购”网站——“下载中心”——“政府采购供应商质疑函范本”。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质疑联系部门：苏州恒泰招投标咨询服务有限公司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联系电话：0512-62728826   联系人：樊亚男、蔡艳平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通讯地址：苏州市阳澄湖东路168号241-202室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29.1采购代理机构在发布成交公告的同时向成交供应商发出成交通知书。成交通知书发出后，采购人改变成交结果，或者成交供应商放弃成交，应当承担相应的法律责任。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29.2成交通知书将成为合同的组成部分。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六、授予合同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 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30.1成交供应商应按规定与采购人签订合同。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30.2签订合同及合同条款应以采购文件和成交供应商的响应文件及其澄清承诺文件为依据。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31、标的物的追加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32.未尽事宜：按《中华人民共和国政府采购法》及其他有关的法律法规的规定执行。</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pStyle w:val="763"/>
        <w:rPr>
          <w:rFonts w:ascii="宋体" w:hAnsi="宋体" w:cs="宋体"/>
          <w:color w:val="auto"/>
          <w:highlight w:val="none"/>
        </w:rPr>
      </w:pPr>
      <w:r>
        <w:rPr>
          <w:rFonts w:ascii="宋体" w:hAnsi="宋体" w:cs="宋体"/>
          <w:color w:val="auto"/>
          <w:highlight w:val="none"/>
        </w:rPr>
      </w:r>
      <w:r/>
    </w:p>
    <w:p>
      <w:pPr>
        <w:numPr>
          <w:ilvl w:val="0"/>
          <w:numId w:val="3"/>
        </w:num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合同文本</w:t>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政府采购合同</w:t>
      </w:r>
      <w:r/>
    </w:p>
    <w:p>
      <w:pPr>
        <w:jc w:val="left"/>
        <w:spacing w:line="360" w:lineRule="auto"/>
        <w:rPr>
          <w:rFonts w:ascii="宋体" w:hAnsi="宋体" w:cs="宋体"/>
          <w:b/>
          <w:color w:val="auto"/>
          <w:highlight w:val="none"/>
        </w:rPr>
      </w:pPr>
      <w:r>
        <w:rPr>
          <w:rFonts w:hint="eastAsia" w:ascii="宋体" w:hAnsi="宋体" w:cs="宋体"/>
          <w:b/>
          <w:color w:val="auto"/>
          <w:highlight w:val="none"/>
        </w:rPr>
        <w:t xml:space="preserve">项目名称：</w:t>
      </w:r>
      <w:r/>
    </w:p>
    <w:p>
      <w:pPr>
        <w:jc w:val="left"/>
        <w:spacing w:line="360" w:lineRule="auto"/>
        <w:rPr>
          <w:rFonts w:ascii="宋体" w:hAnsi="宋体" w:cs="宋体"/>
          <w:b/>
          <w:color w:val="auto"/>
          <w:highlight w:val="none"/>
        </w:rPr>
      </w:pPr>
      <w:r>
        <w:rPr>
          <w:rFonts w:hint="eastAsia" w:ascii="宋体" w:hAnsi="宋体" w:cs="宋体"/>
          <w:b/>
          <w:color w:val="auto"/>
          <w:highlight w:val="none"/>
        </w:rPr>
        <w:t xml:space="preserve">项目编号：</w:t>
      </w:r>
      <w:r/>
    </w:p>
    <w:p>
      <w:pPr>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甲方（采购单位）：</w:t>
      </w:r>
      <w:r>
        <w:rPr>
          <w:rFonts w:hint="eastAsia" w:ascii="宋体" w:hAnsi="宋体" w:eastAsia="宋体" w:cs="宋体"/>
          <w:color w:val="auto"/>
          <w:sz w:val="21"/>
          <w:szCs w:val="21"/>
          <w:highlight w:val="none"/>
          <w:lang w:eastAsia="zh-CN"/>
        </w:rPr>
        <w:t xml:space="preserve">苏州市网球和水上运动业余体校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单位）：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p>
      <w:pPr>
        <w:pStyle w:val="76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根据苏州市政府采购招标编号</w:t>
      </w:r>
      <w:r>
        <w:rPr>
          <w:rFonts w:hint="eastAsia" w:ascii="宋体" w:hAnsi="宋体" w:cs="宋体"/>
          <w:color w:val="auto"/>
          <w:sz w:val="21"/>
          <w:szCs w:val="21"/>
          <w:highlight w:val="none"/>
          <w:u w:val="single"/>
          <w:lang w:eastAsia="zh-CN"/>
        </w:rPr>
        <w:t xml:space="preserve">JSZC-320500-SZHT-C2026-0001</w:t>
      </w:r>
      <w:r>
        <w:rPr>
          <w:rFonts w:hint="eastAsia" w:ascii="宋体" w:hAnsi="宋体" w:eastAsia="宋体" w:cs="宋体"/>
          <w:color w:val="auto"/>
          <w:sz w:val="21"/>
          <w:szCs w:val="21"/>
          <w:highlight w:val="none"/>
          <w:u w:val="none"/>
        </w:rPr>
        <w:t xml:space="preserve">号</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文件及该文件的</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文件和</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通知书，甲乙双方就此次</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采购事宜（以下简称“本服务项目”），签订本合同书，以兹共同遵守。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一、下列文件为本合同不可分割部分：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②乙方的</w:t>
      </w:r>
      <w:r>
        <w:rPr>
          <w:rFonts w:hint="eastAsia" w:ascii="宋体" w:hAnsi="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④乙方在</w:t>
      </w:r>
      <w:r>
        <w:rPr>
          <w:rFonts w:hint="eastAsia" w:ascii="宋体" w:hAnsi="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过程中所作的其他承诺、声明、书面澄清等；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以上与本合同具有同等法律效力。</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1、乙方负责对甲方提供</w:t>
      </w:r>
      <w:r>
        <w:rPr>
          <w:rFonts w:hint="eastAsia" w:ascii="宋体" w:hAnsi="宋体" w:eastAsia="宋体" w:cs="宋体"/>
          <w:bCs/>
          <w:color w:val="auto"/>
          <w:sz w:val="21"/>
          <w:szCs w:val="21"/>
          <w:highlight w:val="none"/>
        </w:rPr>
        <w:t xml:space="preserve">食材定点供应</w:t>
      </w:r>
      <w:r>
        <w:rPr>
          <w:rFonts w:hint="eastAsia" w:ascii="宋体" w:hAnsi="宋体" w:eastAsia="宋体" w:cs="宋体"/>
          <w:color w:val="auto"/>
          <w:sz w:val="21"/>
          <w:szCs w:val="21"/>
          <w:highlight w:val="none"/>
        </w:rPr>
        <w:t xml:space="preserve">服务；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2、服务期限：1年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2026年2月28日至2027年2月27日。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3、配送时间：乙方须保证每天上午6:30——7:00之前将甲方所订的货物送至指定位置。因迟到时间长而造成甲方无法正常供餐的，甲方有权追究乙方相关经济、法律责任。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4、配送地点：甲方指定地点。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三、食材结算及付款方式：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1、定价基准：苏州市发展和改革委员会网站发布苏州市部分农贸市场零售均价。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2、结算时食材单价以苏州市发展改革委员会公示配送当天价格中所配送货物的最低价结合</w:t>
      </w:r>
      <w:r>
        <w:rPr>
          <w:rFonts w:hint="eastAsia" w:ascii="宋体" w:hAnsi="宋体" w:cs="宋体"/>
          <w:color w:val="auto"/>
          <w:sz w:val="21"/>
          <w:szCs w:val="21"/>
          <w:highlight w:val="none"/>
          <w:lang w:eastAsia="zh-CN"/>
        </w:rPr>
        <w:t xml:space="preserve">磋商响应单位</w:t>
      </w:r>
      <w:r>
        <w:rPr>
          <w:rFonts w:hint="eastAsia" w:ascii="宋体" w:hAnsi="宋体" w:eastAsia="宋体" w:cs="宋体"/>
          <w:color w:val="auto"/>
          <w:sz w:val="21"/>
          <w:szCs w:val="21"/>
          <w:highlight w:val="none"/>
        </w:rPr>
        <w:t xml:space="preserve">所报出的投标折扣率按月进行结算。送货当天公示价格备送一份。最终各项具体内容结算价=同类货品当日公布批发均价*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1-成交优惠率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。如相关货品不在苏州市发改委发布的苏州市部分农贸市场零售均价中的，由供需双方协商定价，且最终结算价格不得高于市场零售价。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3、供货价格一周（约7天）调整一次。</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4、结算付款步骤：合同签订后，甲方按月按实支付，次月30日前根据上月采购具体数量向</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支付相应采购金额。结算前乙方需向采购人提供国家正式税务发票、送货凭证等。</w:t>
      </w:r>
      <w:r>
        <w:rPr>
          <w:rFonts w:hint="eastAsia" w:ascii="宋体" w:hAnsi="宋体" w:cs="宋体"/>
          <w:color w:val="auto"/>
          <w:sz w:val="21"/>
          <w:szCs w:val="21"/>
          <w:highlight w:val="non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四、考核管理：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1、本项目服务期限为：1年，2026年2月28日至2027年2月27日。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因所供应食品的质量问题引起食物中毒等食源性疾病的发生或或兴奋剂违规其他事故，由中标供应商负全部责任，并承担由此而引起的全部经济损失及相关法律责任，情节较为严重的，采购人有权立即终止供货协议，并按相关法律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3、经考核有下列情形之一者采购方有权立即终止配送单位的配送工作，并终止与之签订的食堂配送协议：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（1）原材料问题引起的师生食物中毒等食源性疾病的发生；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（2）连续2个月得分低于60分或合同期内累计3个月考核得分低于60分的；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（3）被监管部门查到故意向学校销售假冒伪劣商品；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（4）经查实，将部分配送工作分包或转包给他人或其他单位。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1、甲方违约责任及违约金支付：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1.1在合同生效后，甲方无理由要求终止服务的，应向乙方偿付合同总价款的5%，作为违约金，违约金不足以补偿损失的，乙方有权要求甲方补足；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1.2甲方逾期付款的应按照逾期付款金额的每天万分之四支付逾期付款违约金；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1.3甲方违反合同规定，拒绝接受乙方提供服务，应当承担乙方由此造成的损失。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2、乙方违约责任及违约金支付：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2.1乙方不能提供服务的，或服务不合格从而影响甲方按期正常使用的，应向甲方偿付合同总价款5%的违约金，违约金不足以补偿损失的甲方有权要求乙方补足。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2.2乙方逾期提供服务的，应与甲方协商，甲方仍需求的，乙方应立即提供服务按照逾期服务的每天万分之四支付逾期违约金，同时承担甲方因此遭致的损失费用。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六、不可抗力：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七、合同的解除和转让：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1、甲方和乙方协商一致，可以解除合同。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2、有下列情形之一，合同一方可以解除合同：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2.1因不可抗力致使不能实现合同目的，未受不可抗力影响的一方有权解除合同；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2.2因合同一方违约导致合同不能履行，另一方有权解除合同；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3、合同的部分和全部都不得转让。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八、争议解决办法：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因本合同或与本合同有关的一切事项发生争议，由双方友好协商解决。协商不成的，任何一方均可选择以下解决：向甲方所在地的人民法院起诉。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九、合同生效：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合同经招标代理机构加盖骑缝章，甲乙双方代表签字并加盖公章（或合同章）后生效。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十、未尽事宜：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1、本合同未尽事宜应按照《中华人民共和国民法典》之规定解释。</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十一、附则：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1、合同份数：本合同一式陆份，甲方执贰份，乙方执贰份，采购代理机构执壹份，政府采购监督管理部门执壹份，所有合同具有同等法律效力。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（以下无正文）</w:t>
      </w:r>
      <w:r/>
    </w:p>
    <w:tbl>
      <w:tblPr>
        <w:tblStyle w:val="732"/>
        <w:tblW w:w="0" w:type="auto"/>
        <w:tblInd w:w="-317" w:type="dxa"/>
        <w:tblLayout w:type="fixed"/>
        <w:tblCellMar>
          <w:left w:w="108" w:type="dxa"/>
          <w:top w:w="0" w:type="dxa"/>
          <w:right w:w="108" w:type="dxa"/>
          <w:bottom w:w="0" w:type="dxa"/>
        </w:tblCellMar>
        <w:tblLook w:val="04A0" w:firstRow="1" w:lastRow="0" w:firstColumn="1" w:lastColumn="0" w:noHBand="0" w:noVBand="1"/>
      </w:tblPr>
      <w:tblGrid>
        <w:gridCol w:w="4786"/>
        <w:gridCol w:w="3415"/>
      </w:tblGrid>
      <w:tr>
        <w:trPr>
          <w:trHeight w:val="425"/>
        </w:trPr>
        <w:tc>
          <w:tcPr>
            <w:tcW w:w="4786" w:type="dxa"/>
            <w:vAlign w:val="top"/>
            <w:textDirection w:val="lrTb"/>
            <w:noWrap w:val="false"/>
          </w:tcPr>
          <w:p>
            <w:pPr>
              <w:pStyle w:val="740"/>
              <w:ind w:left="1470" w:hanging="14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甲方（盖章）：苏州市网球和水上运动业余体校</w:t>
            </w:r>
            <w:r/>
          </w:p>
        </w:tc>
        <w:tc>
          <w:tcPr>
            <w:tcW w:w="3415" w:type="dxa"/>
            <w:vAlign w:val="top"/>
            <w:textDirection w:val="lrTb"/>
            <w:noWrap w:val="false"/>
          </w:tcPr>
          <w:p>
            <w:pPr>
              <w:pStyle w:val="7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 </w:t>
            </w:r>
            <w:r/>
          </w:p>
        </w:tc>
      </w:tr>
      <w:tr>
        <w:trPr>
          <w:trHeight w:val="429"/>
        </w:trPr>
        <w:tc>
          <w:tcPr>
            <w:tcW w:w="4786" w:type="dxa"/>
            <w:vAlign w:val="top"/>
            <w:textDirection w:val="lrTb"/>
            <w:noWrap w:val="false"/>
          </w:tcPr>
          <w:p>
            <w:pPr>
              <w:pStyle w:val="7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法定（授权）代表人（签字）：</w:t>
            </w:r>
            <w:r/>
          </w:p>
          <w:p>
            <w:pPr>
              <w:pStyle w:val="7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15" w:type="dxa"/>
            <w:vAlign w:val="top"/>
            <w:textDirection w:val="lrTb"/>
            <w:noWrap w:val="false"/>
          </w:tcPr>
          <w:p>
            <w:pPr>
              <w:pStyle w:val="7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法定（授权）代表人（签字）：</w:t>
            </w:r>
            <w:r/>
          </w:p>
        </w:tc>
      </w:tr>
      <w:tr>
        <w:trPr>
          <w:trHeight w:val="429"/>
        </w:trPr>
        <w:tc>
          <w:tcPr>
            <w:tcW w:w="4786" w:type="dxa"/>
            <w:vAlign w:val="top"/>
            <w:textDirection w:val="lrTb"/>
            <w:noWrap w:val="false"/>
          </w:tcPr>
          <w:p>
            <w:pPr>
              <w:pStyle w:val="7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c>
          <w:tcPr>
            <w:tcW w:w="3415" w:type="dxa"/>
            <w:vAlign w:val="top"/>
            <w:textDirection w:val="lrTb"/>
            <w:noWrap w:val="false"/>
          </w:tcPr>
          <w:p>
            <w:pPr>
              <w:pStyle w:val="7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ascii="宋体" w:hAnsi="宋体" w:cs="宋体"/>
          <w:color w:val="auto"/>
          <w:highlight w:val="none"/>
        </w:rPr>
      </w:pPr>
      <w:r>
        <w:rPr>
          <w:rFonts w:hint="eastAsia" w:ascii="宋体" w:hAnsi="宋体" w:eastAsia="宋体" w:cs="宋体"/>
          <w:b/>
          <w:color w:val="auto"/>
          <w:sz w:val="21"/>
          <w:szCs w:val="21"/>
          <w:highlight w:val="none"/>
        </w:rPr>
        <w:br w:type="page" w:clear="all"/>
      </w:r>
      <w:r>
        <w:rPr>
          <w:rFonts w:hint="eastAsia" w:ascii="宋体" w:hAnsi="宋体" w:cs="宋体"/>
          <w:b/>
          <w:bCs/>
          <w:color w:val="auto"/>
          <w:sz w:val="44"/>
          <w:szCs w:val="44"/>
          <w:highlight w:val="none"/>
        </w:rPr>
        <w:t xml:space="preserve">第四章 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苏州市网球和水上运动业余体校</w:t>
      </w:r>
      <w:r>
        <w:rPr>
          <w:rFonts w:hint="eastAsia" w:ascii="宋体" w:hAnsi="宋体" w:cs="宋体"/>
          <w:color w:val="auto"/>
          <w:szCs w:val="21"/>
          <w:highlight w:val="none"/>
        </w:rPr>
        <w:t xml:space="preserve">的委托，苏州恒泰招投标咨询服务有限公司就</w:t>
      </w:r>
      <w:r>
        <w:rPr>
          <w:rFonts w:hint="eastAsia" w:ascii="宋体" w:hAnsi="宋体" w:cs="宋体"/>
          <w:color w:val="auto"/>
          <w:szCs w:val="21"/>
          <w:highlight w:val="none"/>
          <w:lang w:eastAsia="zh-CN"/>
        </w:rPr>
        <w:t xml:space="preserve">2026年食堂食材采购及配送</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JSZC-320500-SZHT-C2026-0001</w:t>
      </w:r>
      <w:r>
        <w:rPr>
          <w:rFonts w:hint="eastAsia" w:ascii="宋体" w:hAnsi="宋体" w:cs="宋体"/>
          <w:color w:val="auto"/>
          <w:szCs w:val="21"/>
          <w:highlight w:val="none"/>
        </w:rPr>
        <w:t xml:space="preserve">)项目进行竞争性磋商采购，欢迎符合条件的供应商参加磋商响应。</w:t>
      </w:r>
      <w:r/>
    </w:p>
    <w:p>
      <w:pPr>
        <w:pStyle w:val="733"/>
        <w:ind w:firstLine="422"/>
        <w:jc w:val="both"/>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一、项目编号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JSZC-320500-SZHT-C2026-0001</w:t>
      </w:r>
      <w:r/>
    </w:p>
    <w:p>
      <w:pPr>
        <w:pStyle w:val="733"/>
        <w:ind w:firstLine="422"/>
        <w:jc w:val="both"/>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2026年食堂食材采购及配送</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三、采购预算：</w:t>
      </w:r>
      <w:r>
        <w:rPr>
          <w:rFonts w:hint="eastAsia" w:ascii="宋体" w:hAnsi="宋体" w:cs="宋体"/>
          <w:color w:val="auto"/>
          <w:szCs w:val="21"/>
          <w:highlight w:val="none"/>
        </w:rPr>
        <w:t xml:space="preserve">人民币壹佰肆拾贰万叁仟壹佰元整（小写：1423100.00元）</w:t>
      </w:r>
      <w:r/>
    </w:p>
    <w:p>
      <w:pPr>
        <w:pStyle w:val="733"/>
        <w:ind w:firstLine="422"/>
        <w:jc w:val="both"/>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四、最高限价</w:t>
      </w:r>
      <w:r>
        <w:rPr>
          <w:rFonts w:hint="eastAsia" w:ascii="宋体" w:hAnsi="宋体" w:cs="宋体"/>
          <w:color w:val="auto"/>
          <w:sz w:val="21"/>
          <w:szCs w:val="21"/>
          <w:highlight w:val="none"/>
        </w:rPr>
        <w:t xml:space="preserve">：人民币壹佰肆拾贰万叁仟壹佰元整（小写：1423100.00元）</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五、合同履行期限:</w:t>
      </w:r>
      <w:r>
        <w:rPr>
          <w:rFonts w:hint="eastAsia" w:ascii="宋体" w:hAnsi="宋体" w:cs="宋体"/>
          <w:color w:val="auto"/>
          <w:szCs w:val="21"/>
          <w:highlight w:val="none"/>
        </w:rPr>
        <w:t xml:space="preserve">1年，2026年2月28日至2027年2月27日。</w:t>
      </w:r>
      <w:r/>
    </w:p>
    <w:p>
      <w:pPr>
        <w:ind w:firstLine="413"/>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六、采购需求：</w:t>
      </w:r>
      <w:r/>
    </w:p>
    <w:p>
      <w:pPr>
        <w:ind w:firstLine="422"/>
        <w:spacing w:line="360" w:lineRule="auto"/>
        <w:rPr>
          <w:rFonts w:hint="eastAsia" w:ascii="宋体" w:hAnsi="宋体" w:eastAsia="宋体" w:cs="宋体"/>
          <w:color w:val="auto"/>
          <w:sz w:val="21"/>
          <w:szCs w:val="21"/>
          <w:highlight w:val="none"/>
        </w:rPr>
      </w:pPr>
      <w:r/>
      <w:bookmarkStart w:id="0" w:name="_Toc7856"/>
      <w:r/>
      <w:bookmarkStart w:id="1" w:name="_Toc14367"/>
      <w:r>
        <w:rPr>
          <w:rFonts w:hint="eastAsia" w:ascii="宋体" w:hAnsi="宋体" w:eastAsia="宋体" w:cs="宋体"/>
          <w:b/>
          <w:bCs/>
          <w:color w:val="auto"/>
          <w:sz w:val="21"/>
          <w:szCs w:val="21"/>
          <w:highlight w:val="none"/>
        </w:rPr>
        <w:t xml:space="preserve">1.目的：</w:t>
      </w:r>
      <w:r>
        <w:rPr>
          <w:rFonts w:hint="eastAsia" w:ascii="宋体" w:hAnsi="宋体" w:eastAsia="宋体" w:cs="宋体"/>
          <w:b w:val="0"/>
          <w:bCs w:val="0"/>
          <w:color w:val="auto"/>
          <w:sz w:val="21"/>
          <w:szCs w:val="21"/>
          <w:highlight w:val="none"/>
        </w:rPr>
        <w:t xml:space="preserve">苏州市网球和水上运动业余体校师</w:t>
      </w:r>
      <w:r>
        <w:rPr>
          <w:rFonts w:hint="eastAsia" w:ascii="宋体" w:hAnsi="宋体" w:eastAsia="宋体" w:cs="宋体"/>
          <w:bCs/>
          <w:color w:val="auto"/>
          <w:sz w:val="21"/>
          <w:szCs w:val="21"/>
          <w:highlight w:val="none"/>
        </w:rPr>
        <w:t xml:space="preserve">生全年一日三餐，每餐</w:t>
      </w:r>
      <w:r>
        <w:rPr>
          <w:rFonts w:hint="eastAsia" w:ascii="宋体" w:hAnsi="宋体" w:eastAsia="宋体" w:cs="宋体"/>
          <w:bCs/>
          <w:color w:val="auto"/>
          <w:sz w:val="21"/>
          <w:szCs w:val="21"/>
          <w:highlight w:val="none"/>
          <w:lang w:val="en-US" w:eastAsia="zh-CN"/>
        </w:rPr>
        <w:t xml:space="preserve">125</w:t>
      </w:r>
      <w:r>
        <w:rPr>
          <w:rFonts w:hint="eastAsia" w:ascii="宋体" w:hAnsi="宋体" w:eastAsia="宋体" w:cs="宋体"/>
          <w:bCs/>
          <w:color w:val="auto"/>
          <w:sz w:val="21"/>
          <w:szCs w:val="21"/>
          <w:highlight w:val="none"/>
        </w:rPr>
        <w:t xml:space="preserve">人左右（根据每年运动队外训、比赛实际，就餐人数酌减），</w:t>
      </w:r>
      <w:r>
        <w:rPr>
          <w:rFonts w:hint="eastAsia" w:ascii="宋体" w:hAnsi="宋体" w:eastAsia="宋体" w:cs="宋体"/>
          <w:color w:val="auto"/>
          <w:sz w:val="21"/>
          <w:szCs w:val="21"/>
          <w:highlight w:val="none"/>
        </w:rPr>
        <w:t xml:space="preserve">为切实加强学校食堂食品卫生安全管理及物资采购管理水平，进一步提高食堂饭菜质量，确保食堂食材采购价格公开、透明、合理，对食堂所需食材“统一招标、集中采购、定点配送”的模式。</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2.主要采购内容：</w:t>
      </w:r>
      <w:r>
        <w:rPr>
          <w:rFonts w:hint="eastAsia" w:ascii="宋体" w:hAnsi="宋体" w:eastAsia="宋体" w:cs="宋体"/>
          <w:color w:val="auto"/>
          <w:sz w:val="21"/>
          <w:szCs w:val="21"/>
          <w:highlight w:val="none"/>
        </w:rPr>
        <w:t xml:space="preserve">蔬菜类、鲜肉类、家禽类、蛋类、水产类、冻品、半成品、水果、粮油、副食、干货、杂货、奶制品、调味配料等。</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3.质量要求：</w:t>
      </w:r>
      <w:r>
        <w:rPr>
          <w:rFonts w:hint="eastAsia" w:ascii="宋体" w:hAnsi="宋体" w:eastAsia="宋体" w:cs="宋体"/>
          <w:color w:val="auto"/>
          <w:sz w:val="21"/>
          <w:szCs w:val="21"/>
          <w:highlight w:val="none"/>
        </w:rPr>
        <w:t xml:space="preserve">所有食材均为非转基因产品；不含兴奋剂、瘦肉精、动物内脏等运动员禁用食材；供应商为采购人提供的货品质量严格按照国家《食品卫生法》及行业有关规定，符合国家食品卫生标准，并能按采购人要求提供相应的检验检疫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3.1、蔬菜类（土豆、西红柿、青椒、青菜、大白菜、包菜、茭白、芋艿、豆芽等）。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质量要求：所提供的蔬菜必须为半净菜，保证新鲜、无黄叶、枯死叶、无虫、无杂质、不腐烂变质，能提供蔬菜农药残留检测报告、产地合格证明，且符合《农产品质量安全法》要求。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3.2、粮油调料类：（大米、面粉、食用油、盐、酱、醋、生粉、调料等）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质量要求：所提供大米必须为二年内新大米（国标一级），必须符合GB/T1354-2018，并拥有SC食品生产许可证；面粉级别为特一级，必须符合GB/T1355-</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，并拥有SC食品生产许可证；食用油为非转基因食用油，必须符合GB2716-</w:t>
      </w:r>
      <w:r>
        <w:rPr>
          <w:rFonts w:hint="eastAsia" w:ascii="宋体" w:hAnsi="宋体" w:eastAsia="宋体" w:cs="宋体"/>
          <w:color w:val="auto"/>
          <w:sz w:val="21"/>
          <w:szCs w:val="21"/>
          <w:highlight w:val="none"/>
          <w:lang w:val="en-US" w:eastAsia="zh-CN"/>
        </w:rPr>
        <w:t xml:space="preserve">2018</w:t>
      </w:r>
      <w:r>
        <w:rPr>
          <w:rFonts w:hint="eastAsia" w:ascii="宋体" w:hAnsi="宋体" w:eastAsia="宋体" w:cs="宋体"/>
          <w:color w:val="auto"/>
          <w:sz w:val="21"/>
          <w:szCs w:val="21"/>
          <w:highlight w:val="none"/>
        </w:rPr>
        <w:t xml:space="preserve">食用植物油卫生标准，并具有SC食品生产许可证；食用盐必须符合GB/T5461-20</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，酱油必须符合GB/T 18186-20</w:t>
      </w:r>
      <w:r>
        <w:rPr>
          <w:rFonts w:hint="eastAsia" w:ascii="宋体" w:hAnsi="宋体" w:eastAsia="宋体" w:cs="宋体"/>
          <w:color w:val="auto"/>
          <w:sz w:val="21"/>
          <w:szCs w:val="21"/>
          <w:highlight w:val="none"/>
          <w:lang w:val="en-US" w:eastAsia="zh-CN"/>
        </w:rPr>
        <w:t xml:space="preserve">25《酱油质量通则》</w:t>
      </w:r>
      <w:r>
        <w:rPr>
          <w:rFonts w:hint="eastAsia" w:ascii="宋体" w:hAnsi="宋体" w:eastAsia="宋体" w:cs="宋体"/>
          <w:color w:val="auto"/>
          <w:sz w:val="21"/>
          <w:szCs w:val="21"/>
          <w:highlight w:val="none"/>
        </w:rPr>
        <w:t xml:space="preserve">，味精必须符合GB2720-2015标准，生粉（淀粉制品）必须符合GB2713-2015标准，食糖必须符合GB13104-2014卫生标准，食醋必须符合GB/T18623-2011,酿造食醋必须符合GB/T18187-</w:t>
      </w:r>
      <w:r>
        <w:rPr>
          <w:rFonts w:hint="eastAsia" w:ascii="宋体" w:hAnsi="宋体" w:eastAsia="宋体" w:cs="宋体"/>
          <w:color w:val="auto"/>
          <w:sz w:val="21"/>
          <w:szCs w:val="21"/>
          <w:highlight w:val="none"/>
          <w:lang w:val="en-US" w:eastAsia="zh-CN"/>
        </w:rPr>
        <w:t xml:space="preserve">202x</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食醋</w:t>
      </w:r>
      <w:r>
        <w:rPr>
          <w:rFonts w:hint="eastAsia" w:ascii="宋体" w:hAnsi="宋体" w:eastAsia="宋体" w:cs="宋体"/>
          <w:color w:val="auto"/>
          <w:sz w:val="21"/>
          <w:szCs w:val="21"/>
          <w:highlight w:val="none"/>
        </w:rPr>
        <w:t xml:space="preserve">质量通则》；其他类调料必须符合符合《食品安全法》要求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3.3、鲜肉类(方肉、肉丝、排骨、肉酱、猪爪等）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质量要求：所提供鲜猪肉质量必须符合GB/T9959.1-</w:t>
      </w:r>
      <w:r>
        <w:rPr>
          <w:rFonts w:hint="eastAsia" w:ascii="宋体" w:hAnsi="宋体" w:eastAsia="宋体" w:cs="宋体"/>
          <w:color w:val="auto"/>
          <w:sz w:val="21"/>
          <w:szCs w:val="21"/>
          <w:highlight w:val="none"/>
          <w:lang w:val="en-US" w:eastAsia="zh-CN"/>
        </w:rPr>
        <w:t xml:space="preserve">2019</w:t>
      </w:r>
      <w:r>
        <w:rPr>
          <w:rFonts w:hint="eastAsia" w:ascii="宋体" w:hAnsi="宋体" w:eastAsia="宋体" w:cs="宋体"/>
          <w:color w:val="auto"/>
          <w:sz w:val="21"/>
          <w:szCs w:val="21"/>
          <w:highlight w:val="none"/>
        </w:rPr>
        <w:t xml:space="preserve">，主要产品包括大排、肉丝、肉片、方肉、小排、肉酱、猪爪等。其中排肉是指无骨腿肉和无骨夹心肉，其中腿肉要求剔除大股骨，夹心肉要求割除下懒肉，整方供应，肉面干净、无任何异味，无毛发，表皮处理清洁、码放整齐，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3.4、冷冻类（琵琶腿、腊鸡腿、鸡翅、贡丸、香肠、带鱼、小黄鱼等）。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质量要求：供应商须提供产品合格证明文件，动物产品提供《动物或动物产品分销信息凭证》或《动物检疫合格证》。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3.5、鸡蛋类（普通鸡蛋、草鸡蛋）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质量要求：禽蛋必须保证新鲜（7日内产品），破损不超过2%，且符合《食品安全法》要求，并提供养殖基地有效证件。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3.6、半成品（椒盐排条、蛋饺、鸡米花、宫保鸡丁等）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质量要求：供应商须提供产品合格证明文件，动物产品提供《动物或动物产品分销信息凭证》或《动物检疫合格证》。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3.7、水果类（苹果、香梨、香蕉、哈密瓜、黄瓜等）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按照甲方提出的品名、产地、等级、规格、包装等要求供应水果，保证水果光洁新鲜、无斑点、无畸形、无伤果、无烂果、无病虫害、无严重机械伤，符合《中华人民共和国农产品安全法》及其他法律法规的质量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3.8、水产类（鱼、虾等）。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质量要求：鲜活、鳞片齐全、无血迹、无异味，并符合水产品定性检测要求。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3.9、豆制品类（豆腐、千张、香干、素鸡、大油豆腐、小油豆腐等）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质量要求：发酵性豆制品必须符合GB2712-20</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标准，非发酵豆制品必须符合GBT 22106-2008标准、GB2711-2003非发酵性豆制品及面筋卫生标准，对豆制品的有关安全健康指标符合国家规定，豆制品定型包装必须具有SC食品生产许可证，并提供产品合格证明文件。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3.10、家禽类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质量要求：去内脏、表皮无毛，无血迹、无污物、无注水等掺假现象，提供《动物或动物产品分销信息凭证》或《动物检疫合格证》。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3.11、奶制品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质量要求：产品包装及外观干净、整洁，生产日期、保质期、贮藏条件标识清晰，须在保质期内。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3.12、其它类质量要求：其它类质量应符合相应的国家或行业食品安全标准，添加剂的使用必须符合GB2760-</w:t>
      </w:r>
      <w:r>
        <w:rPr>
          <w:rFonts w:hint="eastAsia" w:ascii="宋体" w:hAnsi="宋体" w:eastAsia="宋体" w:cs="宋体"/>
          <w:color w:val="auto"/>
          <w:sz w:val="21"/>
          <w:szCs w:val="21"/>
          <w:highlight w:val="none"/>
          <w:lang w:val="en-US" w:eastAsia="zh-CN"/>
        </w:rPr>
        <w:t xml:space="preserve">2024</w:t>
      </w:r>
      <w:r>
        <w:rPr>
          <w:rFonts w:hint="eastAsia" w:ascii="宋体" w:hAnsi="宋体" w:eastAsia="宋体" w:cs="宋体"/>
          <w:color w:val="auto"/>
          <w:sz w:val="21"/>
          <w:szCs w:val="21"/>
          <w:highlight w:val="none"/>
        </w:rPr>
        <w:t xml:space="preserve">标准，对食品的添加量严格控制在标准规定范围之内。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注：以上质量标准如有新的国家或行业标准出台，则以最新标准执行。</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4.配送要求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时间要求：采购人每天中午12点前确定下一天的食材项目、数量、质量发送至供应商，确定后如遇临时增减、调整，双方协商解决；如需应急配送，供应商应在30分钟内响应，送达不得超过60分钟。供应商按照采购人要求的时间送达采购人膳食部指定的位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2、设施设备要求：具有一定规模的食品经营、加工、储存、配送、检测场所，有较强的供货能力、良好的企业信誉和售后服务能力，有专门的储藏（冷藏）设备和配送设备（冷藏车）。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3、供应商须具备紧急配送的能力，特殊情况，供应商须满足能随时送货。</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供应商供应的食材必须符合《中华人民共和国食品安全法》标准；每日的配送清单须是打印稿，并仔细核对采购清单，确保采购人所需的食品原材料品种、品牌、规格、数量、质量、价格等准确无误，并在规定时间内及时送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5、供应商严禁提供以下食品：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①无品名、产地、厂名、生产日期、保质期及中文标识及原料说明的定型包装食品（除蔬菜、鲜活水产等非定型包装食品）；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②超过保质期限或不符合食品标签规定的定型包装食品；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③腐败变质、油脂酸败、霉变、生虫、污秽不洁、混有异物或者其它感官性状异常，含有毒、有害物质或者被有毒、有害物质污染，可能对人体健康有害的食品；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④病死、死因不明或从疫区采购的水产品、畜、禽及其制品，农药残留超标的蔬菜等；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⑤其它不符合食品卫生标准和要求的食品。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6、每次配送均需提供配送食材的检测报告、食材检验合格证等合格证明材料，对食材供货渠道进行说明或提供追溯记录。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7、供应商应具有相关车辆。蔬菜、水果等配送，须提供车、筐等运输工具；半成品配送（如生肉之类），须提供冷藏或者冷冻设备保存；水产活物配送，须提供制氧设备。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8、如发现食材卫生质量问题或者出现以次充好等质量异议的，供应商应无条件退换货，采购人有权提前终止合同，并要求供应商承担相应责任；如因供货问题造成食堂无法正常运行的，供应商应根据合同承担相应赔偿责任；经核实如供应商提供非法渠道的食品，视为欺诈，供应商要承担相应的赔偿，并依据现行的国家法律法规追究其他责任，并连带追究所投产品生产企业的责任。</w:t>
      </w:r>
      <w:r/>
    </w:p>
    <w:p>
      <w:pPr>
        <w:pStyle w:val="73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9、确保所提供的任何食品不发生兴奋剂违规问题。</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5.考核管理办法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本项目服务期限为1年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年2月</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日至202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日，实行月考核制度，每月由采购单位对配送公司进行考核，结合检查及暗访结果，综合评定考核得分。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采购单位将定期或不定期地深入食堂、配送公司及配送公司的自供蔬菜、水产基地，对配送工作进行督查。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项目负责人（法人代表）原则上在整个配送服务周期内不得更换，确需更换的，必须书面报请采购方审批同意，未经同意不得更换。若自行更换的，采购方将在考核中酌情扣分，情节严重的将取消配送资格。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每月考核得分作为支付当月配送费用的计算依据，奖惩金分段计取，具体计算方法为：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5.4.1乙方当月最终得分在95分（包括95分）以上的，甲方全额支付乙方当月配送费用。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5.4.2乙方当月最终得分在80分（包括80分）以上、95分以下的，每下降1分，扣除当月配送费用的1%作为奖惩金。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5.4.3乙方当月最终得分在60分（包括60分）以上、80分以下的，每下降1分，扣除当月配送费用的2%作为奖惩金。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5.4.4乙方当月得分低于60分的，则甲方认为乙方未能完成当月的配送工作，不予支付当月配送费用。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5.4.5乙方连续2个月得分低于60分或合同期内累计3个月考核得分低于60分的，甲方有权终止合同，乙方须无条件按甲方要求办理移交、退场手续。</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采购方食堂食材供货及配送工作月度考核表（试行）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考核采购方：</w:t>
      </w:r>
      <w:r/>
    </w:p>
    <w:tbl>
      <w:tblPr>
        <w:tblStyle w:val="732"/>
        <w:tblW w:w="4998" w:type="pct"/>
        <w:jc w:val="center"/>
        <w:tblLayout w:type="autofit"/>
        <w:tblCellMar>
          <w:left w:w="15" w:type="dxa"/>
          <w:top w:w="15" w:type="dxa"/>
          <w:right w:w="15" w:type="dxa"/>
          <w:bottom w:w="15" w:type="dxa"/>
        </w:tblCellMar>
        <w:tblLook w:val="04A0" w:firstRow="1" w:lastRow="0" w:firstColumn="1" w:lastColumn="0" w:noHBand="0" w:noVBand="1"/>
      </w:tblPr>
      <w:tblGrid>
        <w:gridCol w:w="968"/>
        <w:gridCol w:w="600"/>
        <w:gridCol w:w="6765"/>
      </w:tblGrid>
      <w:tr>
        <w:trPr>
          <w:jc w:val="center"/>
          <w:trHeight w:val="450"/>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考核要素和评估内容及其标准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准时送货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送货均使用专用冷藏车（</w:t>
            </w:r>
            <w:r>
              <w:rPr>
                <w:rStyle w:val="932"/>
                <w:rFonts w:hint="eastAsia" w:ascii="宋体" w:hAnsi="宋体" w:eastAsia="宋体" w:cs="宋体"/>
                <w:color w:val="auto"/>
                <w:sz w:val="21"/>
                <w:szCs w:val="21"/>
                <w:highlight w:val="none"/>
              </w:rPr>
              <w:t xml:space="preserve">4-10</w:t>
            </w:r>
            <w:r>
              <w:rPr>
                <w:rStyle w:val="931"/>
                <w:rFonts w:hint="eastAsia" w:ascii="宋体" w:hAnsi="宋体" w:eastAsia="宋体" w:cs="宋体"/>
                <w:color w:val="auto"/>
                <w:sz w:val="21"/>
                <w:szCs w:val="21"/>
                <w:highlight w:val="none"/>
              </w:rPr>
              <w:t xml:space="preserve">月须开启冷藏设备，其余时间视气温情况而定），准时送达得</w:t>
            </w:r>
            <w:r>
              <w:rPr>
                <w:rStyle w:val="932"/>
                <w:rFonts w:hint="eastAsia" w:ascii="宋体" w:hAnsi="宋体" w:eastAsia="宋体" w:cs="宋体"/>
                <w:color w:val="auto"/>
                <w:sz w:val="21"/>
                <w:szCs w:val="21"/>
                <w:highlight w:val="none"/>
              </w:rPr>
              <w:t xml:space="preserve">10</w:t>
            </w:r>
            <w:r>
              <w:rPr>
                <w:rStyle w:val="931"/>
                <w:rFonts w:hint="eastAsia" w:ascii="宋体" w:hAnsi="宋体" w:eastAsia="宋体" w:cs="宋体"/>
                <w:color w:val="auto"/>
                <w:sz w:val="21"/>
                <w:szCs w:val="21"/>
                <w:highlight w:val="none"/>
              </w:rPr>
              <w:t xml:space="preserve">分；未用冷藏车或该开启冷藏设备而未开启冷藏设备发现一次扣</w:t>
            </w:r>
            <w:r>
              <w:rPr>
                <w:rStyle w:val="932"/>
                <w:rFonts w:hint="eastAsia" w:ascii="宋体" w:hAnsi="宋体" w:eastAsia="宋体" w:cs="宋体"/>
                <w:color w:val="auto"/>
                <w:sz w:val="21"/>
                <w:szCs w:val="21"/>
                <w:highlight w:val="none"/>
              </w:rPr>
              <w:t xml:space="preserve">4</w:t>
            </w:r>
            <w:r>
              <w:rPr>
                <w:rStyle w:val="931"/>
                <w:rFonts w:hint="eastAsia" w:ascii="宋体" w:hAnsi="宋体" w:eastAsia="宋体" w:cs="宋体"/>
                <w:color w:val="auto"/>
                <w:sz w:val="21"/>
                <w:szCs w:val="21"/>
                <w:highlight w:val="none"/>
              </w:rPr>
              <w:t xml:space="preserve">分，扣完为止，非不可抗拒情况下延误一次扣</w:t>
            </w:r>
            <w:r>
              <w:rPr>
                <w:rStyle w:val="932"/>
                <w:rFonts w:hint="eastAsia" w:ascii="宋体" w:hAnsi="宋体" w:eastAsia="宋体" w:cs="宋体"/>
                <w:color w:val="auto"/>
                <w:sz w:val="21"/>
                <w:szCs w:val="21"/>
                <w:highlight w:val="none"/>
              </w:rPr>
              <w:t xml:space="preserve">2</w:t>
            </w:r>
            <w:r>
              <w:rPr>
                <w:rStyle w:val="931"/>
                <w:rFonts w:hint="eastAsia" w:ascii="宋体" w:hAnsi="宋体" w:eastAsia="宋体" w:cs="宋体"/>
                <w:color w:val="auto"/>
                <w:sz w:val="21"/>
                <w:szCs w:val="21"/>
                <w:highlight w:val="none"/>
              </w:rPr>
              <w:t xml:space="preserve">分，扣完为止。委托其他车辆或人员代送此项不得分。</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有专门的团队服务人员，定期沟通协调的</w:t>
            </w:r>
            <w:r>
              <w:rPr>
                <w:rStyle w:val="932"/>
                <w:rFonts w:hint="eastAsia" w:ascii="宋体" w:hAnsi="宋体" w:eastAsia="宋体" w:cs="宋体"/>
                <w:color w:val="auto"/>
                <w:sz w:val="21"/>
                <w:szCs w:val="21"/>
                <w:highlight w:val="none"/>
              </w:rPr>
              <w:t xml:space="preserve">2</w:t>
            </w:r>
            <w:r>
              <w:rPr>
                <w:rStyle w:val="931"/>
                <w:rFonts w:hint="eastAsia" w:ascii="宋体" w:hAnsi="宋体" w:eastAsia="宋体" w:cs="宋体"/>
                <w:color w:val="auto"/>
                <w:sz w:val="21"/>
                <w:szCs w:val="21"/>
                <w:highlight w:val="none"/>
              </w:rPr>
              <w:t xml:space="preserve">分。提供配送车辆信息材料得</w:t>
            </w:r>
            <w:r>
              <w:rPr>
                <w:rStyle w:val="932"/>
                <w:rFonts w:hint="eastAsia" w:ascii="宋体" w:hAnsi="宋体" w:eastAsia="宋体" w:cs="宋体"/>
                <w:color w:val="auto"/>
                <w:sz w:val="21"/>
                <w:szCs w:val="21"/>
                <w:highlight w:val="none"/>
              </w:rPr>
              <w:t xml:space="preserve">2</w:t>
            </w:r>
            <w:r>
              <w:rPr>
                <w:rStyle w:val="931"/>
                <w:rFonts w:hint="eastAsia" w:ascii="宋体" w:hAnsi="宋体" w:eastAsia="宋体" w:cs="宋体"/>
                <w:color w:val="auto"/>
                <w:sz w:val="21"/>
                <w:szCs w:val="21"/>
                <w:highlight w:val="none"/>
              </w:rPr>
              <w:t xml:space="preserve">分。提供从业人员身份证、健康证明复印件及工作证明得</w:t>
            </w:r>
            <w:r>
              <w:rPr>
                <w:rStyle w:val="932"/>
                <w:rFonts w:hint="eastAsia" w:ascii="宋体" w:hAnsi="宋体" w:eastAsia="宋体" w:cs="宋体"/>
                <w:color w:val="auto"/>
                <w:sz w:val="21"/>
                <w:szCs w:val="21"/>
                <w:highlight w:val="none"/>
              </w:rPr>
              <w:t xml:space="preserve">4</w:t>
            </w:r>
            <w:r>
              <w:rPr>
                <w:rStyle w:val="931"/>
                <w:rFonts w:hint="eastAsia" w:ascii="宋体" w:hAnsi="宋体" w:eastAsia="宋体" w:cs="宋体"/>
                <w:color w:val="auto"/>
                <w:sz w:val="21"/>
                <w:szCs w:val="21"/>
                <w:highlight w:val="none"/>
              </w:rPr>
              <w:t xml:space="preserve">分，人车不符或人证不符发现</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次扣</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工作人员工作认真，服务热情周到，服从学校内部规定，运送搬装文明得</w:t>
            </w:r>
            <w:r>
              <w:rPr>
                <w:rStyle w:val="932"/>
                <w:rFonts w:hint="eastAsia" w:ascii="宋体" w:hAnsi="宋体" w:eastAsia="宋体" w:cs="宋体"/>
                <w:color w:val="auto"/>
                <w:sz w:val="21"/>
                <w:szCs w:val="21"/>
                <w:highlight w:val="none"/>
              </w:rPr>
              <w:t xml:space="preserve">8</w:t>
            </w:r>
            <w:r>
              <w:rPr>
                <w:rStyle w:val="931"/>
                <w:rFonts w:hint="eastAsia" w:ascii="宋体" w:hAnsi="宋体" w:eastAsia="宋体" w:cs="宋体"/>
                <w:color w:val="auto"/>
                <w:sz w:val="21"/>
                <w:szCs w:val="21"/>
                <w:highlight w:val="none"/>
              </w:rPr>
              <w:t xml:space="preserve">分，工作人员野蛮运装导致原材料受损或污染的经查实</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次扣</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分，扣完为止。工作人员进入采购方不服从采购方管理，无正当理由与采购方人员争执的，经查实</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次扣</w:t>
            </w:r>
            <w:r>
              <w:rPr>
                <w:rStyle w:val="932"/>
                <w:rFonts w:hint="eastAsia" w:ascii="宋体" w:hAnsi="宋体" w:eastAsia="宋体" w:cs="宋体"/>
                <w:color w:val="auto"/>
                <w:sz w:val="21"/>
                <w:szCs w:val="21"/>
                <w:highlight w:val="none"/>
              </w:rPr>
              <w:t xml:space="preserve">3</w:t>
            </w:r>
            <w:r>
              <w:rPr>
                <w:rStyle w:val="931"/>
                <w:rFonts w:hint="eastAsia" w:ascii="宋体" w:hAnsi="宋体" w:eastAsia="宋体" w:cs="宋体"/>
                <w:color w:val="auto"/>
                <w:sz w:val="21"/>
                <w:szCs w:val="21"/>
                <w:highlight w:val="none"/>
              </w:rPr>
              <w:t xml:space="preserve">分，扣完为止。</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保证质量</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保证商品质量，无以次（劣）充好现象，无过期或变质食品得</w:t>
            </w:r>
            <w:r>
              <w:rPr>
                <w:rFonts w:hint="eastAsia" w:ascii="宋体" w:hAnsi="宋体" w:eastAsia="宋体" w:cs="宋体"/>
                <w:color w:val="auto"/>
                <w:sz w:val="21"/>
                <w:szCs w:val="21"/>
                <w:highlight w:val="none"/>
              </w:rPr>
              <w:t xml:space="preserve">10</w:t>
            </w:r>
            <w:r>
              <w:rPr>
                <w:rStyle w:val="934"/>
                <w:rFonts w:hint="eastAsia" w:ascii="宋体" w:hAnsi="宋体" w:eastAsia="宋体" w:cs="宋体"/>
                <w:color w:val="auto"/>
                <w:sz w:val="21"/>
                <w:szCs w:val="21"/>
                <w:highlight w:val="none"/>
              </w:rPr>
              <w:t xml:space="preserve">分；发现一次假冒伪劣商品或过期商品不得分，并报采购方备案。所供原材料未经挑选出现腐烂、变质等现象或原材料来源不明的发生</w:t>
            </w:r>
            <w:r>
              <w:rPr>
                <w:rFonts w:hint="eastAsia" w:ascii="宋体" w:hAnsi="宋体" w:eastAsia="宋体" w:cs="宋体"/>
                <w:color w:val="auto"/>
                <w:sz w:val="21"/>
                <w:szCs w:val="21"/>
                <w:highlight w:val="none"/>
              </w:rPr>
              <w:t xml:space="preserve">1</w:t>
            </w:r>
            <w:r>
              <w:rPr>
                <w:rStyle w:val="934"/>
                <w:rFonts w:hint="eastAsia" w:ascii="宋体" w:hAnsi="宋体" w:eastAsia="宋体" w:cs="宋体"/>
                <w:color w:val="auto"/>
                <w:sz w:val="21"/>
                <w:szCs w:val="21"/>
                <w:highlight w:val="none"/>
              </w:rPr>
              <w:t xml:space="preserve">次扣</w:t>
            </w:r>
            <w:r>
              <w:rPr>
                <w:rFonts w:hint="eastAsia" w:ascii="宋体" w:hAnsi="宋体" w:eastAsia="宋体" w:cs="宋体"/>
                <w:color w:val="auto"/>
                <w:sz w:val="21"/>
                <w:szCs w:val="21"/>
                <w:highlight w:val="none"/>
              </w:rPr>
              <w:t xml:space="preserve">2</w:t>
            </w:r>
            <w:r>
              <w:rPr>
                <w:rStyle w:val="934"/>
                <w:rFonts w:hint="eastAsia" w:ascii="宋体" w:hAnsi="宋体" w:eastAsia="宋体" w:cs="宋体"/>
                <w:color w:val="auto"/>
                <w:sz w:val="21"/>
                <w:szCs w:val="21"/>
                <w:highlight w:val="none"/>
              </w:rPr>
              <w:t xml:space="preserve">分，以此类推，扣完为止。（需注明发现时间及现场实物照片）</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足斤足两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送货无短斤缺两现象</w:t>
            </w:r>
            <w:r>
              <w:rPr>
                <w:rStyle w:val="932"/>
                <w:rFonts w:hint="eastAsia" w:ascii="宋体" w:hAnsi="宋体" w:eastAsia="宋体" w:cs="宋体"/>
                <w:color w:val="auto"/>
                <w:sz w:val="21"/>
                <w:szCs w:val="21"/>
                <w:highlight w:val="none"/>
              </w:rPr>
              <w:t xml:space="preserve">8</w:t>
            </w:r>
            <w:r>
              <w:rPr>
                <w:rStyle w:val="931"/>
                <w:rFonts w:hint="eastAsia" w:ascii="宋体" w:hAnsi="宋体" w:eastAsia="宋体" w:cs="宋体"/>
                <w:color w:val="auto"/>
                <w:sz w:val="21"/>
                <w:szCs w:val="21"/>
                <w:highlight w:val="none"/>
              </w:rPr>
              <w:t xml:space="preserve">分（份量短缺达到该类食材配送总量</w:t>
            </w:r>
            <w:r>
              <w:rPr>
                <w:rStyle w:val="932"/>
                <w:rFonts w:hint="eastAsia" w:ascii="宋体" w:hAnsi="宋体" w:eastAsia="宋体" w:cs="宋体"/>
                <w:color w:val="auto"/>
                <w:sz w:val="21"/>
                <w:szCs w:val="21"/>
                <w:highlight w:val="none"/>
              </w:rPr>
              <w:t xml:space="preserve">5%</w:t>
            </w:r>
            <w:r>
              <w:rPr>
                <w:rStyle w:val="931"/>
                <w:rFonts w:hint="eastAsia" w:ascii="宋体" w:hAnsi="宋体" w:eastAsia="宋体" w:cs="宋体"/>
                <w:color w:val="auto"/>
                <w:sz w:val="21"/>
                <w:szCs w:val="21"/>
                <w:highlight w:val="none"/>
              </w:rPr>
              <w:t xml:space="preserve">以上，有一次扣</w:t>
            </w:r>
            <w:r>
              <w:rPr>
                <w:rStyle w:val="932"/>
                <w:rFonts w:hint="eastAsia" w:ascii="宋体" w:hAnsi="宋体" w:eastAsia="宋体" w:cs="宋体"/>
                <w:color w:val="auto"/>
                <w:sz w:val="21"/>
                <w:szCs w:val="21"/>
                <w:highlight w:val="none"/>
              </w:rPr>
              <w:t xml:space="preserve">2</w:t>
            </w:r>
            <w:r>
              <w:rPr>
                <w:rStyle w:val="931"/>
                <w:rFonts w:hint="eastAsia" w:ascii="宋体" w:hAnsi="宋体" w:eastAsia="宋体" w:cs="宋体"/>
                <w:color w:val="auto"/>
                <w:sz w:val="21"/>
                <w:szCs w:val="21"/>
                <w:highlight w:val="none"/>
              </w:rPr>
              <w:t xml:space="preserve">分，以此类推，扣完为止）。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工作细致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配送原材料清单与实际配送无差错</w:t>
            </w:r>
            <w:r>
              <w:rPr>
                <w:rStyle w:val="932"/>
                <w:rFonts w:hint="eastAsia" w:ascii="宋体" w:hAnsi="宋体" w:eastAsia="宋体" w:cs="宋体"/>
                <w:color w:val="auto"/>
                <w:sz w:val="21"/>
                <w:szCs w:val="21"/>
                <w:highlight w:val="none"/>
              </w:rPr>
              <w:t xml:space="preserve">8</w:t>
            </w:r>
            <w:r>
              <w:rPr>
                <w:rStyle w:val="931"/>
                <w:rFonts w:hint="eastAsia" w:ascii="宋体" w:hAnsi="宋体" w:eastAsia="宋体" w:cs="宋体"/>
                <w:color w:val="auto"/>
                <w:sz w:val="21"/>
                <w:szCs w:val="21"/>
                <w:highlight w:val="none"/>
              </w:rPr>
              <w:t xml:space="preserve">分（误差一次扣</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分，以此类推，扣完为止）。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单据清晰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送货单（结算凭证）项目齐全，机器打印清晰，提供正规发票得6</w:t>
            </w:r>
            <w:r>
              <w:rPr>
                <w:rStyle w:val="931"/>
                <w:rFonts w:hint="eastAsia" w:ascii="宋体" w:hAnsi="宋体" w:eastAsia="宋体" w:cs="宋体"/>
                <w:color w:val="auto"/>
                <w:sz w:val="21"/>
                <w:szCs w:val="21"/>
                <w:highlight w:val="none"/>
              </w:rPr>
              <w:t xml:space="preserve">分，否则不得分。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按照采购方公布的目录品牌规格采购、供货得6分。擅自更换品牌规格的发现</w:t>
            </w:r>
            <w:r>
              <w:rPr>
                <w:rFonts w:hint="eastAsia" w:ascii="宋体" w:hAnsi="宋体" w:eastAsia="宋体" w:cs="宋体"/>
                <w:color w:val="auto"/>
                <w:sz w:val="21"/>
                <w:szCs w:val="21"/>
                <w:highlight w:val="none"/>
              </w:rPr>
              <w:t xml:space="preserve">1</w:t>
            </w:r>
            <w:r>
              <w:rPr>
                <w:rStyle w:val="934"/>
                <w:rFonts w:hint="eastAsia" w:ascii="宋体" w:hAnsi="宋体" w:eastAsia="宋体" w:cs="宋体"/>
                <w:color w:val="auto"/>
                <w:sz w:val="21"/>
                <w:szCs w:val="21"/>
                <w:highlight w:val="none"/>
              </w:rPr>
              <w:t xml:space="preserve">次扣</w:t>
            </w:r>
            <w:r>
              <w:rPr>
                <w:rFonts w:hint="eastAsia" w:ascii="宋体" w:hAnsi="宋体" w:eastAsia="宋体" w:cs="宋体"/>
                <w:color w:val="auto"/>
                <w:sz w:val="21"/>
                <w:szCs w:val="21"/>
                <w:highlight w:val="none"/>
              </w:rPr>
              <w:t xml:space="preserve">1</w:t>
            </w:r>
            <w:r>
              <w:rPr>
                <w:rStyle w:val="934"/>
                <w:rFonts w:hint="eastAsia" w:ascii="宋体" w:hAnsi="宋体" w:eastAsia="宋体" w:cs="宋体"/>
                <w:color w:val="auto"/>
                <w:sz w:val="21"/>
                <w:szCs w:val="21"/>
                <w:highlight w:val="none"/>
              </w:rPr>
              <w:t xml:space="preserve">分，扣完为止。</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索证索票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按照相关法律法规规定及监管部门要求，向采购方提供原材料的检测报告或产品合格证的得</w:t>
            </w:r>
            <w:r>
              <w:rPr>
                <w:rStyle w:val="932"/>
                <w:rFonts w:hint="eastAsia" w:ascii="宋体" w:hAnsi="宋体" w:eastAsia="宋体" w:cs="宋体"/>
                <w:color w:val="auto"/>
                <w:sz w:val="21"/>
                <w:szCs w:val="21"/>
                <w:highlight w:val="none"/>
              </w:rPr>
              <w:t xml:space="preserve">6</w:t>
            </w:r>
            <w:r>
              <w:rPr>
                <w:rStyle w:val="931"/>
                <w:rFonts w:hint="eastAsia" w:ascii="宋体" w:hAnsi="宋体" w:eastAsia="宋体" w:cs="宋体"/>
                <w:color w:val="auto"/>
                <w:sz w:val="21"/>
                <w:szCs w:val="21"/>
                <w:highlight w:val="none"/>
              </w:rPr>
              <w:t xml:space="preserve">分，每少一次扣</w:t>
            </w:r>
            <w:r>
              <w:rPr>
                <w:rStyle w:val="932"/>
                <w:rFonts w:hint="eastAsia" w:ascii="宋体" w:hAnsi="宋体" w:eastAsia="宋体" w:cs="宋体"/>
                <w:color w:val="auto"/>
                <w:sz w:val="21"/>
                <w:szCs w:val="21"/>
                <w:highlight w:val="none"/>
              </w:rPr>
              <w:t xml:space="preserve">0.5</w:t>
            </w:r>
            <w:r>
              <w:rPr>
                <w:rStyle w:val="931"/>
                <w:rFonts w:hint="eastAsia" w:ascii="宋体" w:hAnsi="宋体" w:eastAsia="宋体" w:cs="宋体"/>
                <w:color w:val="auto"/>
                <w:sz w:val="21"/>
                <w:szCs w:val="21"/>
                <w:highlight w:val="none"/>
              </w:rPr>
              <w:t xml:space="preserve">分，扣完为止。</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对于突发事件能够快速处置，明确专门人员应急处置机制，明确应急处置流程，细化相应岗位人员在食品安全事故应急处置中的职责，落实应急处置措施，快速反应，妥善处置，满分4分。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结算精准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送货单上单价、月底结算价格与采购方核定价一致，满分6分（擅自涨价，每次扣</w:t>
            </w:r>
            <w:r>
              <w:rPr>
                <w:rStyle w:val="932"/>
                <w:rFonts w:hint="eastAsia" w:ascii="宋体" w:hAnsi="宋体" w:eastAsia="宋体" w:cs="宋体"/>
                <w:color w:val="auto"/>
                <w:sz w:val="21"/>
                <w:szCs w:val="21"/>
                <w:highlight w:val="none"/>
              </w:rPr>
              <w:t xml:space="preserve">2</w:t>
            </w:r>
            <w:r>
              <w:rPr>
                <w:rStyle w:val="931"/>
                <w:rFonts w:hint="eastAsia" w:ascii="宋体" w:hAnsi="宋体" w:eastAsia="宋体" w:cs="宋体"/>
                <w:color w:val="auto"/>
                <w:sz w:val="21"/>
                <w:szCs w:val="21"/>
                <w:highlight w:val="none"/>
              </w:rPr>
              <w:t xml:space="preserve">分，以此类推，扣完为止）。</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安全清洁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运输工具、贮物筐箱、包装材料等保持清洁卫生，满分4分。（抽查到不符要求的每次扣</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分，以此类推，扣完为止）。</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沟通联系</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如目录没有采购方所需商品，事先与采购方联系并谈妥商品的品牌、品级、规格、价格等事项，然后发货</w:t>
            </w:r>
            <w:r>
              <w:rPr>
                <w:rStyle w:val="932"/>
                <w:rFonts w:hint="eastAsia" w:ascii="宋体" w:hAnsi="宋体" w:eastAsia="宋体" w:cs="宋体"/>
                <w:color w:val="auto"/>
                <w:sz w:val="21"/>
                <w:szCs w:val="21"/>
                <w:highlight w:val="none"/>
              </w:rPr>
              <w:t xml:space="preserve">4</w:t>
            </w:r>
            <w:r>
              <w:rPr>
                <w:rStyle w:val="931"/>
                <w:rFonts w:hint="eastAsia" w:ascii="宋体" w:hAnsi="宋体" w:eastAsia="宋体" w:cs="宋体"/>
                <w:color w:val="auto"/>
                <w:sz w:val="21"/>
                <w:szCs w:val="21"/>
                <w:highlight w:val="none"/>
              </w:rPr>
              <w:t xml:space="preserve">分。配送公司单方定价后再送货不得分。</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及时整改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对采购方的意见、建议虚心接受，运作过程中出现的新情况新问题及时主动沟通、协调有效果，及时整改见实效</w:t>
            </w:r>
            <w:r>
              <w:rPr>
                <w:rStyle w:val="932"/>
                <w:rFonts w:hint="eastAsia" w:ascii="宋体" w:hAnsi="宋体" w:eastAsia="宋体" w:cs="宋体"/>
                <w:color w:val="auto"/>
                <w:sz w:val="21"/>
                <w:szCs w:val="21"/>
                <w:highlight w:val="none"/>
              </w:rPr>
              <w:t xml:space="preserve">4</w:t>
            </w:r>
            <w:r>
              <w:rPr>
                <w:rStyle w:val="931"/>
                <w:rFonts w:hint="eastAsia" w:ascii="宋体" w:hAnsi="宋体" w:eastAsia="宋体" w:cs="宋体"/>
                <w:color w:val="auto"/>
                <w:sz w:val="21"/>
                <w:szCs w:val="21"/>
                <w:highlight w:val="none"/>
              </w:rPr>
              <w:t xml:space="preserve">分，整改效果不明显扣</w:t>
            </w:r>
            <w:r>
              <w:rPr>
                <w:rStyle w:val="932"/>
                <w:rFonts w:hint="eastAsia" w:ascii="宋体" w:hAnsi="宋体" w:eastAsia="宋体" w:cs="宋体"/>
                <w:color w:val="auto"/>
                <w:sz w:val="21"/>
                <w:szCs w:val="21"/>
                <w:highlight w:val="none"/>
              </w:rPr>
              <w:t xml:space="preserve">1</w:t>
            </w:r>
            <w:r>
              <w:rPr>
                <w:rStyle w:val="931"/>
                <w:rFonts w:hint="eastAsia" w:ascii="宋体" w:hAnsi="宋体" w:eastAsia="宋体" w:cs="宋体"/>
                <w:color w:val="auto"/>
                <w:sz w:val="21"/>
                <w:szCs w:val="21"/>
                <w:highlight w:val="none"/>
              </w:rPr>
              <w:t xml:space="preserve">分，未见整改效果不得分。</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诚信经营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不得将部分商品或部分采购方的供应权限转让或分包给他人经营</w:t>
            </w:r>
            <w:r>
              <w:rPr>
                <w:rStyle w:val="932"/>
                <w:rFonts w:hint="eastAsia" w:ascii="宋体" w:hAnsi="宋体" w:eastAsia="宋体" w:cs="宋体"/>
                <w:color w:val="auto"/>
                <w:sz w:val="21"/>
                <w:szCs w:val="21"/>
                <w:highlight w:val="none"/>
              </w:rPr>
              <w:t xml:space="preserve">8</w:t>
            </w:r>
            <w:r>
              <w:rPr>
                <w:rStyle w:val="931"/>
                <w:rFonts w:hint="eastAsia" w:ascii="宋体" w:hAnsi="宋体" w:eastAsia="宋体" w:cs="宋体"/>
                <w:color w:val="auto"/>
                <w:sz w:val="21"/>
                <w:szCs w:val="21"/>
                <w:highlight w:val="none"/>
              </w:rPr>
              <w:t xml:space="preserve">分（如有违反不得分，并考虑取消配送资格）。</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4058" w:type="pct"/>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考核人：                                  考核时间：</w:t>
      </w:r>
      <w:r/>
    </w:p>
    <w:p>
      <w:pPr>
        <w:pStyle w:val="741"/>
        <w:ind w:left="0" w:right="0" w:firstLine="422"/>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eastAsia="zh-CN"/>
        </w:rPr>
        <w:t xml:space="preserve">七</w:t>
      </w:r>
      <w:r>
        <w:rPr>
          <w:rFonts w:hint="eastAsia" w:ascii="宋体" w:hAnsi="宋体" w:eastAsia="宋体" w:cs="宋体"/>
          <w:b/>
          <w:color w:val="auto"/>
          <w:sz w:val="21"/>
          <w:szCs w:val="21"/>
          <w:highlight w:val="none"/>
        </w:rPr>
        <w:t xml:space="preserve">、综合说明及其他要求：</w:t>
      </w:r>
      <w:bookmarkEnd w:id="0"/>
      <w:r/>
      <w:bookmarkEnd w:id="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1、供应商须说明其是否响应采购文件中提出的全部内容与要求，如果以其中某些条款不响应时，应在文件中逐条列出，未列出的视同响应。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响应价格采取</w:t>
      </w:r>
      <w:r>
        <w:rPr>
          <w:rFonts w:hint="eastAsia" w:ascii="宋体" w:hAnsi="宋体" w:eastAsia="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次报</w:t>
      </w:r>
      <w:r>
        <w:rPr>
          <w:rFonts w:hint="eastAsia" w:ascii="宋体" w:hAnsi="宋体" w:eastAsia="宋体" w:cs="宋体"/>
          <w:color w:val="auto"/>
          <w:sz w:val="21"/>
          <w:szCs w:val="21"/>
          <w:highlight w:val="none"/>
          <w:lang w:eastAsia="zh-CN"/>
        </w:rPr>
        <w:t xml:space="preserve">定</w:t>
      </w:r>
      <w:r>
        <w:rPr>
          <w:rFonts w:hint="eastAsia" w:ascii="宋体" w:hAnsi="宋体" w:eastAsia="宋体" w:cs="宋体"/>
          <w:color w:val="auto"/>
          <w:sz w:val="21"/>
          <w:szCs w:val="21"/>
          <w:highlight w:val="none"/>
        </w:rPr>
        <w:t xml:space="preserve">，包含了本项目所有服务期间所需全部费用及标的物。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需严格按采购单位规定的时间完成项目的各项工作内容，如在实施的过程中出现错误，误差，需负责及时更正直至采购单位确认合格，</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在项目进行过程中产生的任何安全、损坏等责任事故一律由</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不得将本项目分包或转包。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本项目履约验收按以下标准实施：根据招标文件提出的要求进行验收（参考国家标准）。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八</w:t>
      </w:r>
      <w:r>
        <w:rPr>
          <w:rFonts w:hint="eastAsia" w:ascii="宋体" w:hAnsi="宋体" w:eastAsia="宋体" w:cs="宋体"/>
          <w:b/>
          <w:bCs/>
          <w:color w:val="auto"/>
          <w:sz w:val="21"/>
          <w:szCs w:val="21"/>
          <w:highlight w:val="none"/>
        </w:rPr>
        <w:t xml:space="preserve">、政府采购相关政策：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1、政府采购节能产品、环境标志产品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根据《关于贯彻执行绿色采购、促进残疾人就业和支持监狱企业发</w:t>
      </w:r>
      <w:r>
        <w:rPr>
          <w:rFonts w:hint="eastAsia" w:ascii="宋体" w:hAnsi="宋体" w:eastAsia="宋体" w:cs="宋体"/>
          <w:color w:val="auto"/>
          <w:sz w:val="21"/>
          <w:szCs w:val="21"/>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注：本项目不涉及上述强制或优先采购。</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2、小、微企业</w:t>
      </w:r>
      <w:r/>
    </w:p>
    <w:p>
      <w:pPr>
        <w:pStyle w:val="7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微企业在响应文件中，可提供企业注册地经信部门出具的中小微企业认定书，或签署《中小企业声明函》。未在响应文件中提供中小微企业认定书或《中小企业声明函》的，不享受促进中小微企业发展的相关政府采购政策。</w:t>
      </w:r>
      <w:r/>
    </w:p>
    <w:p>
      <w:pPr>
        <w:pStyle w:val="7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视同小型、微型企业，享受评审中价格扣除等促进中小企业发展的政府采购政策。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p>
    <w:p>
      <w:pPr>
        <w:pStyle w:val="7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视同小型、微型企业，享受评审中价格扣除等政府采购促进中小企业发展的政府采购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7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的折扣：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1"/>
          <w:szCs w:val="21"/>
          <w:highlight w:val="none"/>
        </w:rPr>
        <w:t xml:space="preserve">本项目为专门面向中小企业采购的项目，不再执行价格评审优惠的扶持政策。</w:t>
      </w:r>
      <w:r>
        <w:rPr>
          <w:rFonts w:hint="eastAsia" w:ascii="宋体" w:hAnsi="宋体" w:eastAsia="宋体" w:cs="宋体"/>
          <w:color w:val="auto"/>
          <w:sz w:val="21"/>
          <w:szCs w:val="21"/>
          <w:highlight w:val="none"/>
        </w:rPr>
        <w:t xml:space="preserve">供应商必须提供《中小企业声明函》或《残疾人福利性单位声明函》或由省级以上监狱管理局、戒毒管理局（含新疆生产建设兵团）出具的属于监狱企业的证明文件。</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、信用记录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1、查询截止时点：响应文件递交截止时间。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采购代理机构会在接收响应文件截止时间后，登录“苏采云”系统可一键链接至“信用中国”查询供应商的信用信息。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对存在失信信息的供应商，采购代理机构工作人员应根据评审小组确认的失信信息，登陆到来源网站页面进行复核并打印，作为证据留存。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4.2财政部门与法院、工商、税务等部门联合惩戒的失信信息，包括：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color w:val="auto"/>
          <w:sz w:val="21"/>
          <w:szCs w:val="21"/>
          <w:highlight w:val="none"/>
        </w:rPr>
        <w:t xml:space="preserve">凡涉及采购文件的补充说明和修改，均以苏州市政府采购网发布的内容为准。</w:t>
      </w:r>
      <w:r/>
    </w:p>
    <w:p>
      <w:pPr>
        <w:jc w:val="center"/>
        <w:spacing w:line="360" w:lineRule="auto"/>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r>
      <w:r/>
    </w:p>
    <w:p>
      <w:pPr>
        <w:jc w:val="center"/>
        <w:spacing w:line="360" w:lineRule="auto"/>
        <w:rPr>
          <w:rFonts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第五章 评审方法与评审标准</w:t>
      </w:r>
      <w:r/>
    </w:p>
    <w:p>
      <w:pPr>
        <w:ind w:firstLine="422"/>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一、评审办法：</w:t>
      </w:r>
      <w:r/>
    </w:p>
    <w:p>
      <w:pPr>
        <w:ind w:firstLine="420"/>
        <w:spacing w:line="360" w:lineRule="auto"/>
        <w:tabs>
          <w:tab w:val="left" w:pos="420" w:leader="none"/>
          <w:tab w:val="left" w:pos="540" w:leader="none"/>
        </w:tabs>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本次磋商采用</w:t>
      </w:r>
      <w:r>
        <w:rPr>
          <w:rFonts w:hint="eastAsia" w:ascii="宋体" w:hAnsi="宋体" w:cs="宋体"/>
          <w:b/>
          <w:bCs/>
          <w:color w:val="auto"/>
          <w:highlight w:val="none"/>
        </w:rPr>
        <w:t xml:space="preserve">综合评分法</w:t>
      </w:r>
      <w:r>
        <w:rPr>
          <w:rFonts w:hint="eastAsia" w:ascii="宋体" w:hAnsi="宋体" w:cs="宋体"/>
          <w:color w:val="auto"/>
          <w:highlight w:val="none"/>
        </w:rPr>
        <w:t xml:space="preserve">，即在响应文件满足采购文件全部实质性要求且按评审因素的量化指标评审得分最高的供应商为成交候选供应商。采购人书面授权磋商小组直接确定成交供应商。</w:t>
      </w:r>
      <w:r/>
    </w:p>
    <w:p>
      <w:pPr>
        <w:ind w:firstLine="420"/>
        <w:spacing w:line="360" w:lineRule="auto"/>
        <w:tabs>
          <w:tab w:val="left" w:pos="420" w:leader="none"/>
          <w:tab w:val="left" w:pos="540" w:leader="none"/>
        </w:tabs>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磋商小组各成员独立对每个进入打分程序的有效磋商供应商的响应文件技术和资质部分以打分的形式进行评审和评价。</w:t>
      </w:r>
      <w:r/>
    </w:p>
    <w:p>
      <w:pPr>
        <w:ind w:firstLine="420"/>
        <w:spacing w:line="360" w:lineRule="auto"/>
        <w:tabs>
          <w:tab w:val="left" w:pos="420" w:leader="none"/>
          <w:tab w:val="left" w:pos="540" w:leader="none"/>
        </w:tabs>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对评委的评分（除价格分外）进行统计汇总，直接算术平均计算出每个磋商供应商的得分，加上价格得分即为每个磋商供应商的综合得分。</w:t>
      </w:r>
      <w:r/>
    </w:p>
    <w:p>
      <w:pPr>
        <w:ind w:firstLine="420"/>
        <w:spacing w:line="360" w:lineRule="auto"/>
        <w:tabs>
          <w:tab w:val="left" w:pos="420" w:leader="none"/>
          <w:tab w:val="left" w:pos="540" w:leader="none"/>
        </w:tabs>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tabs>
          <w:tab w:val="left" w:pos="420" w:leader="none"/>
          <w:tab w:val="left" w:pos="540" w:leader="none"/>
        </w:tabs>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针对中小型企业、残疾人福利企业和监狱企业的评审：</w:t>
      </w:r>
      <w:r/>
    </w:p>
    <w:p>
      <w:pPr>
        <w:ind w:firstLine="420"/>
        <w:spacing w:line="360" w:lineRule="auto"/>
        <w:tabs>
          <w:tab w:val="left" w:pos="420" w:leader="none"/>
          <w:tab w:val="left" w:pos="540" w:leader="none"/>
        </w:tabs>
        <w:rPr>
          <w:rFonts w:ascii="宋体" w:hAnsi="宋体" w:cs="宋体"/>
          <w:color w:val="auto"/>
          <w:szCs w:val="21"/>
          <w:highlight w:val="none"/>
        </w:rPr>
      </w:pPr>
      <w:r>
        <w:rPr>
          <w:rFonts w:hint="eastAsia" w:ascii="宋体" w:hAnsi="宋体" w:cs="宋体"/>
          <w:color w:val="auto"/>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cs="宋体"/>
          <w:color w:val="auto"/>
          <w:szCs w:val="21"/>
          <w:highlight w:val="none"/>
        </w:rPr>
        <w:t xml:space="preserve">见&gt;的通知》（苏财购〔2022〕16号）的有关规定，</w:t>
      </w:r>
      <w:r>
        <w:rPr>
          <w:rFonts w:hint="eastAsia" w:ascii="宋体" w:hAnsi="宋体" w:cs="宋体"/>
          <w:b/>
          <w:bCs/>
          <w:color w:val="auto"/>
          <w:szCs w:val="21"/>
          <w:highlight w:val="none"/>
        </w:rPr>
        <w:t xml:space="preserve">本项目为专门面向中小企业采购的项目，不再执行价格评审优惠的扶持政策。</w:t>
      </w:r>
      <w:r>
        <w:rPr>
          <w:rFonts w:hint="eastAsia" w:ascii="宋体" w:hAnsi="宋体" w:cs="宋体"/>
          <w:bCs/>
          <w:color w:val="auto"/>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b/>
          <w:color w:val="auto"/>
          <w:szCs w:val="21"/>
          <w:highlight w:val="none"/>
        </w:rPr>
        <w:t xml:space="preserve">服务类项目中供应商若使用退休人员，将不享受中小企业扶持政策。</w:t>
      </w:r>
      <w:r/>
    </w:p>
    <w:p>
      <w:pPr>
        <w:ind w:firstLine="420"/>
        <w:spacing w:line="360" w:lineRule="auto"/>
        <w:tabs>
          <w:tab w:val="left" w:pos="420" w:leader="none"/>
          <w:tab w:val="left" w:pos="540" w:leader="none"/>
        </w:tabs>
        <w:rPr>
          <w:rFonts w:ascii="宋体" w:hAnsi="宋体" w:cs="宋体"/>
          <w:color w:val="auto"/>
          <w:highlight w:val="none"/>
        </w:rPr>
      </w:pPr>
      <w:r>
        <w:rPr>
          <w:rFonts w:hint="eastAsia" w:ascii="宋体" w:hAnsi="宋体" w:cs="宋体"/>
          <w:color w:val="auto"/>
          <w:highlight w:val="none"/>
        </w:rPr>
        <w:t xml:space="preserve">注：</w:t>
      </w:r>
      <w:r/>
    </w:p>
    <w:p>
      <w:pPr>
        <w:ind w:firstLine="420"/>
        <w:spacing w:line="360" w:lineRule="auto"/>
        <w:tabs>
          <w:tab w:val="left" w:pos="420" w:leader="none"/>
          <w:tab w:val="left" w:pos="540" w:leader="none"/>
        </w:tabs>
        <w:rPr>
          <w:rFonts w:ascii="宋体" w:hAnsi="宋体" w:cs="宋体"/>
          <w:color w:val="auto"/>
          <w:highlight w:val="none"/>
        </w:rPr>
      </w:pPr>
      <w:r>
        <w:rPr>
          <w:rFonts w:hint="eastAsia" w:ascii="宋体" w:hAnsi="宋体" w:cs="宋体"/>
          <w:color w:val="auto"/>
          <w:highlight w:val="none"/>
        </w:rPr>
        <w:t xml:space="preserve">①填报“中小企业声明函”需严格按“工信部联企业〔2011〕300号通知中的《中小企业划型标准规定》进行。</w:t>
      </w:r>
      <w:r/>
    </w:p>
    <w:p>
      <w:pPr>
        <w:ind w:firstLine="420"/>
        <w:spacing w:line="360" w:lineRule="auto"/>
        <w:tabs>
          <w:tab w:val="left" w:pos="420" w:leader="none"/>
          <w:tab w:val="left" w:pos="540" w:leader="none"/>
        </w:tabs>
        <w:rPr>
          <w:rFonts w:hint="eastAsia" w:ascii="宋体" w:hAnsi="宋体" w:cs="宋体"/>
          <w:color w:val="auto"/>
          <w:highlight w:val="none"/>
        </w:rPr>
      </w:pPr>
      <w:r>
        <w:rPr>
          <w:rFonts w:hint="eastAsia" w:ascii="宋体" w:hAnsi="宋体" w:cs="宋体"/>
          <w:color w:val="auto"/>
          <w:highlight w:val="none"/>
        </w:rPr>
        <w:t xml:space="preserve">②若供应商提供的声明函或认定证明为虚假材料，按“政府采购法”相关规定处理并报请政府监管部门给予行政处罚。</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（一）价格分：10分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优惠率</w:t>
      </w:r>
      <w:r>
        <w:rPr>
          <w:rFonts w:hint="eastAsia" w:ascii="宋体" w:hAnsi="宋体" w:eastAsia="宋体" w:cs="宋体"/>
          <w:color w:val="auto"/>
          <w:sz w:val="21"/>
          <w:szCs w:val="21"/>
          <w:highlight w:val="none"/>
        </w:rPr>
        <w:t xml:space="preserve">满足采购文件要求的，为有效投标</w:t>
      </w:r>
      <w:r>
        <w:rPr>
          <w:rFonts w:hint="eastAsia" w:ascii="宋体" w:hAnsi="宋体" w:eastAsia="宋体" w:cs="宋体"/>
          <w:color w:val="auto"/>
          <w:sz w:val="21"/>
          <w:szCs w:val="21"/>
          <w:highlight w:val="none"/>
          <w:lang w:eastAsia="zh-CN"/>
        </w:rPr>
        <w:t xml:space="preserve">优惠率</w:t>
      </w:r>
      <w:r>
        <w:rPr>
          <w:rFonts w:hint="eastAsia" w:ascii="宋体" w:hAnsi="宋体" w:eastAsia="宋体" w:cs="宋体"/>
          <w:color w:val="auto"/>
          <w:sz w:val="21"/>
          <w:szCs w:val="21"/>
          <w:highlight w:val="none"/>
        </w:rPr>
        <w:t xml:space="preserve">。</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价格分采用低价优先法计算，即满足招标文件要求且优惠率最高者（即折扣率最低者）为评标基准优惠率，其价格分为满分10分。其他供应商的价格分统一按照下列公式计算：</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评标基准价/</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投标优惠率）*价格权值*100，小数点后保留两位（价格权值为10%）。</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（二）服务方案比较：</w:t>
      </w:r>
      <w:r>
        <w:rPr>
          <w:rFonts w:hint="eastAsia" w:ascii="宋体" w:hAnsi="宋体" w:cs="宋体"/>
          <w:b/>
          <w:color w:val="auto"/>
          <w:sz w:val="21"/>
          <w:szCs w:val="21"/>
          <w:highlight w:val="none"/>
          <w:lang w:val="en-US" w:eastAsia="zh-CN"/>
        </w:rPr>
        <w:t xml:space="preserve">50</w:t>
      </w:r>
      <w:r>
        <w:rPr>
          <w:rFonts w:hint="eastAsia" w:ascii="宋体" w:hAnsi="宋体" w:eastAsia="宋体" w:cs="宋体"/>
          <w:b/>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1、根据投标人提供的内部管理制度(含食材卫生安全保障制度、质量保障机制、配送业务操作流程规范制度、内部考核制度、服务质量监督制度)评定。（</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1.1食材卫生安全保障制度比较；</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食材卫生安全保障制度完整得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分，食材卫生安全保障制度较为完整得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分，食材卫生安全保障制度不完整得1分，食材卫生安全保障制度缺失不得分。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1.2质量保障机制比较；</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质量保障机制完整得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分，质量保障机制较为完整得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分，质量保障机制不完整得1分，质量保障机制缺失不得分。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1.3配送业务操作流程规范制度比较；</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配送业务操作流程规范制度完整得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分，配送业务操作流程规范制度较为完整得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分，配送业务操作流程规范制度不完整得1分，配送业务操作流程规范制度缺失不得分。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1.4内部考核制度比较；</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内部考核制度完整得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分，内部考核制度较为完整得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分，内部考核制度不完整得1分，内部考核制度缺失不得分。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1.5服务质量监督制度比较；</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服务质量监督制度完整得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分，服务质量监督制度较为完整得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分，服务质量监督制度不完整得1分，服务质量监督制度缺失不得分。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2、投标人提供的原材料配送服务方案：（20分）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2.1食材货源及时令蔬菜供应保障措施；（4分）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食材货源及时令蔬菜供应保障措施到位得4分，食材货源及时令蔬菜供应保障措施较为到位得2分，食材货源及时令蔬菜供应保障措施不到位得1分，没有不得分。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2.2食材安全、卫生、无毒</w:t>
      </w:r>
      <w:bookmarkStart w:id="5" w:name="_GoBack"/>
      <w:r/>
      <w:bookmarkEnd w:id="5"/>
      <w:r>
        <w:rPr>
          <w:rFonts w:hint="eastAsia" w:ascii="宋体" w:hAnsi="宋体" w:eastAsia="宋体" w:cs="宋体"/>
          <w:color w:val="auto"/>
          <w:sz w:val="21"/>
          <w:szCs w:val="21"/>
          <w:highlight w:val="none"/>
        </w:rPr>
        <w:t xml:space="preserve">无公害保障措施；（4分）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食材安全、卫生、无毒无公害保障措施到位得4分，食材安全、卫生、无毒无公害保障措施较为到位得2分，食材安全、卫生、无毒无公害保障措施不到位得1分，没有不得分。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2.3食材配送及时及运输安全保障措施；（4分）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食材配送及时及运输安全保障措施到位得4分，食材配送及时及运输安全保障措施较为到位得2分，食材配送及时及运输安全保障措施不到位得1分，没有不得分。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2.4鱼肉水产蔬菜新鲜度及质保期保障措施；（4分）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鱼肉水产蔬菜新鲜度及质保期保障措施到位得4分，鱼肉水产蔬菜新鲜度及质保期保障措施较为到位得2分，鱼肉水产蔬菜新鲜度及质保期保障措施不到位得1分，没有不得分。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2.5供货价格不高于市场平均价保障措施；（4分）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供货价格不高于市场平均价保障措施到位得4分，供货价格不高于市场平均价保障措施较为到位得2分，供货价格不高于市场平均价保障措施不到位得1分，没有不得分。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3、应急处理机制：（10分）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3.1针对食品流通环节过程可能会出现的问题（如仓储、储运、货柜达不到标准致使食品变得不合格）作出的应急处理方案；（5分）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应急处理方案全面，可行性高得5分，应急处理方案较为全面，可行性一般得3分，应急处理方案欠缺，可行性差得1分，没有不得分。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3.2针对甲方临时提出应急供货需求的处理方案；（5分）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处理方案全面，可行性高得5分，处理方案较为全面，可行性一般得3分，处理方案欠缺，可行性差得1分，没有不得分。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（三）服务团队及配备设施比较：1</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针对本项目所成立的服务团队比较</w:t>
      </w:r>
      <w:r>
        <w:rPr>
          <w:rFonts w:hint="eastAsia" w:ascii="宋体" w:hAnsi="宋体" w:eastAsia="宋体" w:cs="宋体"/>
          <w:color w:val="auto"/>
          <w:sz w:val="21"/>
          <w:szCs w:val="21"/>
          <w:highlight w:val="none"/>
          <w:lang w:eastAsia="zh-CN"/>
        </w:rPr>
        <w:t xml:space="preserve">：</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团队配置科学性强、人员分配合理、贴合实际、针对性强的得9分；团队配置科学性较强、人员分配较合理、较贴合实际、针对性较强的得6分；团队配置科学性一般、人员分配性一般、贴合实际性一般、针对性一般的得3分；有内容但不合理的得1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、车辆情况：3分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磋商响应单位</w:t>
      </w:r>
      <w:r>
        <w:rPr>
          <w:rFonts w:hint="eastAsia" w:ascii="宋体" w:hAnsi="宋体" w:eastAsia="宋体" w:cs="宋体"/>
          <w:color w:val="auto"/>
          <w:sz w:val="21"/>
          <w:szCs w:val="21"/>
          <w:highlight w:val="none"/>
        </w:rPr>
        <w:t xml:space="preserve">自有货车或租赁的有一辆得1分，满分1分；</w:t>
      </w:r>
      <w:r>
        <w:rPr>
          <w:rFonts w:hint="eastAsia" w:ascii="宋体" w:hAnsi="宋体" w:eastAsia="宋体" w:cs="宋体"/>
          <w:color w:val="auto"/>
          <w:sz w:val="21"/>
          <w:szCs w:val="21"/>
          <w:highlight w:val="none"/>
          <w:lang w:eastAsia="zh-CN"/>
        </w:rPr>
        <w:t xml:space="preserve">磋商响应单位</w:t>
      </w:r>
      <w:r>
        <w:rPr>
          <w:rFonts w:hint="eastAsia" w:ascii="宋体" w:hAnsi="宋体" w:eastAsia="宋体" w:cs="宋体"/>
          <w:color w:val="auto"/>
          <w:sz w:val="21"/>
          <w:szCs w:val="21"/>
          <w:highlight w:val="none"/>
        </w:rPr>
        <w:t xml:space="preserve">自有冷链运输车或租赁的有一辆得1分，满分2分。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（自有车辆需提供车辆彩色图片、行驶证复印件；租赁车辆须提供租赁合同（租赁期限需涵盖本项目服务期限）、车辆行驶证复印件。）</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（四）售后服务比较：</w:t>
      </w: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1、配送距离；（4分）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投标人经营场所离采购方在15公里（含）距离内得4分；投标人经营场所离采购方在15至20公里（含）距离内得2分；投标人经营场所离采购方在20公里以外的得1分。（投标文件中需提供导航截图，没有不得分）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响应单位由保险公司承保食品安全责任保险，得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分，需提供保险单（纸质版或电子版），未提供不得分。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w:t>
      </w:r>
      <w:r>
        <w:rPr>
          <w:rFonts w:hint="eastAsia" w:ascii="宋体" w:hAnsi="宋体" w:cs="宋体"/>
          <w:b/>
          <w:color w:val="auto"/>
          <w:sz w:val="21"/>
          <w:szCs w:val="21"/>
          <w:highlight w:val="none"/>
          <w:lang w:eastAsia="zh-CN"/>
        </w:rPr>
        <w:t xml:space="preserve">磋商响应单位</w:t>
      </w:r>
      <w:r>
        <w:rPr>
          <w:rFonts w:hint="eastAsia" w:ascii="宋体" w:hAnsi="宋体" w:eastAsia="宋体" w:cs="宋体"/>
          <w:b/>
          <w:color w:val="auto"/>
          <w:sz w:val="21"/>
          <w:szCs w:val="21"/>
          <w:highlight w:val="none"/>
        </w:rPr>
        <w:t xml:space="preserve">综合实力比较：</w:t>
      </w:r>
      <w:r>
        <w:rPr>
          <w:rFonts w:hint="eastAsia" w:ascii="宋体" w:hAnsi="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磋商响应单位</w:t>
      </w: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rPr>
        <w:t xml:space="preserve">（以合同签订之间为准）至今承担过类似项目业绩：具有为不同的政府机关、企事业单位、学校等单位提供食品原材料配送业绩，符合条件的每提供一个得2分，最高</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分。投标文件中提供相关合同复印件。</w:t>
      </w:r>
      <w:r/>
    </w:p>
    <w:p>
      <w:pPr>
        <w:ind w:firstLine="420"/>
        <w:spacing w:line="360" w:lineRule="auto"/>
        <w:rPr>
          <w:rFonts w:ascii="宋体" w:hAnsi="宋体" w:cs="宋体"/>
          <w:color w:val="auto"/>
          <w:szCs w:val="21"/>
          <w:highlight w:val="none"/>
          <w:lang w:bidi="en-US"/>
        </w:rPr>
      </w:pPr>
      <w:r>
        <w:rPr>
          <w:rFonts w:hint="eastAsia" w:ascii="宋体" w:hAnsi="宋体" w:cs="宋体"/>
          <w:color w:val="auto"/>
          <w:szCs w:val="21"/>
          <w:highlight w:val="none"/>
          <w:lang w:bidi="en-US"/>
        </w:rPr>
        <w:t xml:space="preserve">2、响应单位具有3A企业资信等级证书</w:t>
      </w:r>
      <w:r>
        <w:rPr>
          <w:rFonts w:hint="eastAsia" w:ascii="宋体" w:hAnsi="宋体" w:cs="宋体"/>
          <w:color w:val="auto"/>
          <w:szCs w:val="21"/>
          <w:highlight w:val="none"/>
          <w:lang w:eastAsia="zh-CN" w:bidi="en-US"/>
        </w:rPr>
        <w:t xml:space="preserve">的得</w:t>
      </w:r>
      <w:r>
        <w:rPr>
          <w:rFonts w:hint="eastAsia" w:ascii="宋体" w:hAnsi="宋体" w:cs="宋体"/>
          <w:color w:val="auto"/>
          <w:szCs w:val="21"/>
          <w:highlight w:val="none"/>
          <w:lang w:val="en-US" w:eastAsia="zh-CN" w:bidi="en-US"/>
        </w:rPr>
        <w:t xml:space="preserve">2分，</w:t>
      </w:r>
      <w:r>
        <w:rPr>
          <w:rFonts w:hint="eastAsia" w:ascii="宋体" w:hAnsi="宋体" w:cs="宋体"/>
          <w:color w:val="auto"/>
          <w:szCs w:val="21"/>
          <w:highlight w:val="none"/>
          <w:lang w:bidi="en-US"/>
        </w:rPr>
        <w:t xml:space="preserve">有3A企业信用认证证书的得2分；有食品检验</w:t>
      </w:r>
      <w:r>
        <w:rPr>
          <w:rFonts w:hint="eastAsia" w:ascii="宋体" w:hAnsi="宋体" w:cs="宋体"/>
          <w:color w:val="auto"/>
          <w:szCs w:val="21"/>
          <w:highlight w:val="none"/>
          <w:lang w:eastAsia="zh-CN" w:bidi="en-US"/>
        </w:rPr>
        <w:t xml:space="preserve">证书的</w:t>
      </w:r>
      <w:r>
        <w:rPr>
          <w:rFonts w:hint="eastAsia" w:ascii="宋体" w:hAnsi="宋体" w:cs="宋体"/>
          <w:color w:val="auto"/>
          <w:szCs w:val="21"/>
          <w:highlight w:val="none"/>
          <w:lang w:bidi="en-US"/>
        </w:rPr>
        <w:t xml:space="preserve">得2分；有食品安全管理</w:t>
      </w:r>
      <w:r>
        <w:rPr>
          <w:rFonts w:hint="eastAsia" w:ascii="宋体" w:hAnsi="宋体" w:cs="宋体"/>
          <w:color w:val="auto"/>
          <w:szCs w:val="21"/>
          <w:highlight w:val="none"/>
          <w:lang w:eastAsia="zh-CN" w:bidi="en-US"/>
        </w:rPr>
        <w:t xml:space="preserve">证书的</w:t>
      </w:r>
      <w:r>
        <w:rPr>
          <w:rFonts w:hint="eastAsia" w:ascii="宋体" w:hAnsi="宋体" w:cs="宋体"/>
          <w:color w:val="auto"/>
          <w:szCs w:val="21"/>
          <w:highlight w:val="none"/>
          <w:lang w:bidi="en-US"/>
        </w:rPr>
        <w:t xml:space="preserve">得2分；需提供相关证</w:t>
      </w:r>
      <w:r>
        <w:rPr>
          <w:rFonts w:hint="eastAsia" w:ascii="宋体" w:hAnsi="宋体" w:cs="宋体"/>
          <w:color w:val="auto"/>
          <w:szCs w:val="21"/>
          <w:highlight w:val="none"/>
          <w:lang w:eastAsia="zh-CN" w:bidi="en-US"/>
        </w:rPr>
        <w:t xml:space="preserve">书</w:t>
      </w:r>
      <w:r>
        <w:rPr>
          <w:rFonts w:hint="eastAsia" w:ascii="宋体" w:hAnsi="宋体" w:cs="宋体"/>
          <w:color w:val="auto"/>
          <w:szCs w:val="21"/>
          <w:highlight w:val="none"/>
          <w:lang w:bidi="en-US"/>
        </w:rPr>
        <w:t xml:space="preserve">扫描件，否则不得分。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磋商响应单位</w:t>
      </w:r>
      <w:r>
        <w:rPr>
          <w:rFonts w:hint="eastAsia" w:ascii="宋体" w:hAnsi="宋体" w:eastAsia="宋体" w:cs="宋体"/>
          <w:color w:val="auto"/>
          <w:sz w:val="21"/>
          <w:szCs w:val="21"/>
          <w:highlight w:val="none"/>
        </w:rPr>
        <w:t xml:space="preserve">具有冷冻仓库情况</w:t>
      </w:r>
      <w:r>
        <w:rPr>
          <w:rFonts w:hint="eastAsia" w:ascii="宋体" w:hAnsi="宋体" w:eastAsia="宋体" w:cs="宋体"/>
          <w:color w:val="auto"/>
          <w:sz w:val="21"/>
          <w:szCs w:val="21"/>
          <w:highlight w:val="none"/>
          <w:lang w:eastAsia="zh-CN"/>
        </w:rPr>
        <w:t xml:space="preserve">比较（</w:t>
      </w:r>
      <w:r>
        <w:rPr>
          <w:rFonts w:hint="eastAsia" w:ascii="宋体" w:hAnsi="宋体" w:eastAsia="宋体" w:cs="宋体"/>
          <w:color w:val="auto"/>
          <w:sz w:val="21"/>
          <w:szCs w:val="21"/>
          <w:highlight w:val="none"/>
          <w:lang w:val="en-US" w:eastAsia="zh-CN"/>
        </w:rPr>
        <w:t xml:space="preserve">4分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自有或租赁的冷冻仓库面积200平方米（含）以上得4分；100平方米（含）以上，200平方米（不含）以下的得2分，100平方米（不含）以下的得1分，没有不得分。自有的提供</w:t>
      </w:r>
      <w:r>
        <w:rPr>
          <w:rFonts w:hint="eastAsia" w:ascii="宋体" w:hAnsi="宋体" w:eastAsia="宋体" w:cs="宋体"/>
          <w:color w:val="auto"/>
          <w:sz w:val="21"/>
          <w:szCs w:val="21"/>
          <w:highlight w:val="none"/>
        </w:rPr>
        <w:t xml:space="preserve">冷冻仓库</w:t>
      </w:r>
      <w:r>
        <w:rPr>
          <w:rFonts w:hint="eastAsia" w:ascii="宋体" w:hAnsi="宋体" w:eastAsia="宋体" w:cs="宋体"/>
          <w:color w:val="auto"/>
          <w:sz w:val="21"/>
          <w:szCs w:val="21"/>
          <w:highlight w:val="none"/>
          <w:lang w:val="en-US" w:eastAsia="zh-CN"/>
        </w:rPr>
        <w:t xml:space="preserve">购置合同扫描件；租赁的提供出租方租赁合同扫描件，未提供的不得分。</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磋商响应单位</w:t>
      </w:r>
      <w:r>
        <w:rPr>
          <w:rFonts w:hint="eastAsia" w:ascii="宋体" w:hAnsi="宋体" w:eastAsia="宋体" w:cs="宋体"/>
          <w:color w:val="auto"/>
          <w:sz w:val="21"/>
          <w:szCs w:val="21"/>
          <w:highlight w:val="none"/>
        </w:rPr>
        <w:t xml:space="preserve">具有有效期内质量管理体系、环境管理体系、职业健康安全管理体系、食品安全管理体系证书</w:t>
      </w:r>
      <w:r>
        <w:rPr>
          <w:rFonts w:hint="eastAsia" w:ascii="宋体" w:hAnsi="宋体" w:eastAsia="宋体" w:cs="宋体"/>
          <w:color w:val="auto"/>
          <w:sz w:val="21"/>
          <w:szCs w:val="21"/>
          <w:highlight w:val="none"/>
          <w:lang w:eastAsia="zh-CN"/>
        </w:rPr>
        <w:t xml:space="preserve">、危害分析与关键控制点</w:t>
      </w:r>
      <w:r>
        <w:rPr>
          <w:rFonts w:hint="eastAsia" w:ascii="宋体" w:hAnsi="宋体" w:eastAsia="宋体" w:cs="宋体"/>
          <w:color w:val="auto"/>
          <w:sz w:val="21"/>
          <w:szCs w:val="21"/>
          <w:highlight w:val="none"/>
        </w:rPr>
        <w:t xml:space="preserve">体系</w:t>
      </w:r>
      <w:r>
        <w:rPr>
          <w:rFonts w:hint="eastAsia" w:ascii="宋体" w:hAnsi="宋体" w:eastAsia="宋体" w:cs="宋体"/>
          <w:color w:val="auto"/>
          <w:sz w:val="21"/>
          <w:szCs w:val="21"/>
          <w:highlight w:val="none"/>
          <w:lang w:eastAsia="zh-CN"/>
        </w:rPr>
        <w:t xml:space="preserve">认证证书</w:t>
      </w:r>
      <w:r>
        <w:rPr>
          <w:rFonts w:hint="eastAsia" w:ascii="宋体" w:hAnsi="宋体" w:eastAsia="宋体" w:cs="宋体"/>
          <w:color w:val="auto"/>
          <w:sz w:val="21"/>
          <w:szCs w:val="21"/>
          <w:highlight w:val="none"/>
        </w:rPr>
        <w:t xml:space="preserve">的有一个得1分，最高</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分。投标文件中提供相关证书复印件以及在中国国家认证认可监督管理委员会网站查询截图。</w:t>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注：针对评分标准中评分的每一条，投标人在投标文件中均应提供清晰明了的相关资料并做出相应说明供评委评判，不提供相关资料的视为不具备该项得分的条件，</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pStyle w:val="771"/>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第六章 响应文件格式</w:t>
      </w:r>
      <w:r/>
    </w:p>
    <w:p>
      <w:pPr>
        <w:pStyle w:val="735"/>
        <w:ind w:firstLine="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说明：</w:t>
      </w:r>
      <w:r/>
    </w:p>
    <w:p>
      <w:pPr>
        <w:pStyle w:val="735"/>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对本章所有的格式 ，供应商可根据自身情况进行补充和修改，但补充和修改不得造成与本格式内容有实质性的违背。</w:t>
      </w:r>
      <w:r/>
    </w:p>
    <w:p>
      <w:pPr>
        <w:pStyle w:val="735"/>
        <w:ind w:firstLine="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1、磋商响应函</w:t>
      </w:r>
      <w:r/>
    </w:p>
    <w:p>
      <w:pPr>
        <w:pStyle w:val="744"/>
        <w:jc w:val="center"/>
        <w:spacing w:line="380" w:lineRule="exact"/>
        <w:rPr>
          <w:rFonts w:hAnsi="宋体" w:cs="宋体"/>
          <w:color w:val="auto"/>
          <w:szCs w:val="21"/>
          <w:highlight w:val="none"/>
        </w:rPr>
      </w:pPr>
      <w:r>
        <w:rPr>
          <w:rFonts w:hint="eastAsia" w:hAnsi="宋体" w:cs="宋体"/>
          <w:b/>
          <w:color w:val="auto"/>
          <w:szCs w:val="21"/>
          <w:highlight w:val="none"/>
        </w:rPr>
        <w:t xml:space="preserve">磋商响应函</w:t>
      </w:r>
      <w:r/>
    </w:p>
    <w:p>
      <w:pPr>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苏州恒泰招投标咨询服务有限公司</w:t>
      </w:r>
      <w:r/>
    </w:p>
    <w:p>
      <w:pPr>
        <w:ind w:firstLine="42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我方收到贵公司</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（项目编号）采购文件，经仔细阅读和研究，我方决定参加磋商活动，并向贵公司作出如下承诺：</w:t>
      </w:r>
      <w:r/>
    </w:p>
    <w:p>
      <w:pPr>
        <w:ind w:firstLine="42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4、本磋商响应文件的有效期限为响应文件接收截止时间之日起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天。</w:t>
      </w:r>
      <w:r/>
    </w:p>
    <w:p>
      <w:pPr>
        <w:ind w:firstLine="420"/>
        <w:jc w:val="left"/>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6、我方承诺磋商响应文件在磋商开始后的全过程中保持有效，不作任何更改和变动。</w:t>
      </w:r>
      <w:r/>
    </w:p>
    <w:p>
      <w:pPr>
        <w:ind w:firstLine="420"/>
        <w:jc w:val="left"/>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7、我方承诺满足《中华人民共和国政府采购法》第二十二条规定的所有条件。</w:t>
      </w:r>
      <w:r/>
    </w:p>
    <w:p>
      <w:pPr>
        <w:ind w:firstLine="420"/>
        <w:jc w:val="left"/>
        <w:spacing w:line="44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8、我们与参与本次采购活动的其他供应商的负责人不是同一人，也不存在直接控股、管理关系。</w:t>
      </w:r>
      <w:r/>
    </w:p>
    <w:p>
      <w:pPr>
        <w:ind w:firstLine="420"/>
        <w:jc w:val="left"/>
        <w:spacing w:line="44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供应商与其他单位存在控股、管理关系情况表</w:t>
      </w:r>
      <w:r/>
    </w:p>
    <w:tbl>
      <w:tblPr>
        <w:tblStyle w:val="732"/>
        <w:tblW w:w="9078"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643"/>
      </w:tblGrid>
      <w:tr>
        <w:trPr>
          <w:trHeight w:val="45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firstLine="420"/>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r>
    </w:tbl>
    <w:p>
      <w:pPr>
        <w:pStyle w:val="926"/>
        <w:ind w:firstLine="422"/>
        <w:spacing w:line="360" w:lineRule="auto"/>
        <w:widowControl/>
        <w:rPr>
          <w:rFonts w:hAnsi="宋体" w:cs="宋体"/>
          <w:b/>
          <w:bCs/>
          <w:color w:val="auto"/>
          <w:szCs w:val="21"/>
          <w:highlight w:val="none"/>
        </w:rPr>
      </w:pPr>
      <w:r>
        <w:rPr>
          <w:rFonts w:hint="eastAsia" w:hAnsi="宋体" w:cs="宋体"/>
          <w:b/>
          <w:bCs/>
          <w:color w:val="auto"/>
          <w:szCs w:val="21"/>
          <w:highlight w:val="none"/>
        </w:rPr>
        <w:t xml:space="preserve">注：响应单位应当按实填写所有与之有控股、管理关系的情况。</w:t>
      </w:r>
      <w:r/>
    </w:p>
    <w:p>
      <w:pPr>
        <w:pStyle w:val="925"/>
        <w:numPr>
          <w:ilvl w:val="0"/>
          <w:numId w:val="0"/>
        </w:numPr>
        <w:ind w:firstLine="422"/>
        <w:spacing w:line="360" w:lineRule="auto"/>
        <w:widowControl/>
        <w:rPr>
          <w:rFonts w:hint="eastAsia" w:hAnsi="宋体" w:cs="宋体"/>
          <w:b/>
          <w:color w:val="auto"/>
          <w:szCs w:val="21"/>
          <w:highlight w:val="none"/>
          <w:lang w:bidi="ar"/>
        </w:rPr>
      </w:pPr>
      <w:r>
        <w:rPr>
          <w:rFonts w:hint="eastAsia" w:ascii="宋体" w:hAnsi="宋体" w:eastAsia="宋体" w:cs="宋体"/>
          <w:b/>
          <w:color w:val="auto"/>
          <w:sz w:val="21"/>
          <w:szCs w:val="21"/>
          <w:highlight w:val="none"/>
          <w:lang w:val="en-US" w:eastAsia="zh-CN" w:bidi="ar"/>
        </w:rPr>
        <w:t xml:space="preserve">9、</w:t>
      </w:r>
      <w:r>
        <w:rPr>
          <w:rFonts w:hint="eastAsia" w:hAnsi="宋体" w:cs="宋体"/>
          <w:b/>
          <w:bCs/>
          <w:color w:val="auto"/>
          <w:szCs w:val="21"/>
          <w:highlight w:val="none"/>
        </w:rPr>
        <w:t xml:space="preserve">我们</w:t>
      </w:r>
      <w:r>
        <w:rPr>
          <w:rFonts w:hint="eastAsia" w:hAnsi="宋体" w:cs="宋体"/>
          <w:b/>
          <w:bCs/>
          <w:color w:val="auto"/>
          <w:szCs w:val="21"/>
          <w:highlight w:val="none"/>
          <w:lang w:bidi="ar"/>
        </w:rPr>
        <w:t xml:space="preserve">没有为本采购项目提供整体设计、规范编</w:t>
      </w:r>
      <w:r>
        <w:rPr>
          <w:rFonts w:hint="eastAsia" w:hAnsi="宋体" w:cs="宋体"/>
          <w:b/>
          <w:color w:val="auto"/>
          <w:szCs w:val="21"/>
          <w:highlight w:val="none"/>
          <w:lang w:bidi="ar"/>
        </w:rPr>
        <w:t xml:space="preserve">制，以及项目管理、监理、检测等服务。</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、与本磋商相应文件有关的通讯地址：</w:t>
      </w:r>
      <w:r/>
    </w:p>
    <w:p>
      <w:pPr>
        <w:ind w:firstLine="21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   位：                                              联 系 人： </w:t>
      </w:r>
      <w:r/>
    </w:p>
    <w:p>
      <w:pPr>
        <w:ind w:firstLine="21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                                              邮政编码： </w:t>
      </w:r>
      <w:r/>
    </w:p>
    <w:p>
      <w:pPr>
        <w:ind w:firstLine="210"/>
        <w:jc w:val="left"/>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联系电话：                                             电子邮箱：</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磋商响应单位：（单位盖章）</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法定代表人或代理人：（签字或盖章）</w:t>
      </w:r>
      <w:r/>
    </w:p>
    <w:p>
      <w:pPr>
        <w:ind w:right="-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日期：     年     月     日</w:t>
      </w:r>
      <w:r/>
    </w:p>
    <w:p>
      <w:pPr>
        <w:ind w:right="-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5"/>
        <w:ind w:firstLine="0"/>
        <w:jc w:val="both"/>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2、法定代表人授权委托书</w:t>
      </w:r>
      <w:r/>
    </w:p>
    <w:p>
      <w:pPr>
        <w:pStyle w:val="735"/>
        <w:ind w:firstLine="0"/>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5"/>
        <w:ind w:firstLine="0"/>
        <w:jc w:val="center"/>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法定代表人授权委托书</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（姓名）为我公司代理人，以本公司的名义参加苏州恒泰招投标咨询服务有限公司组织实施的编号为</w:t>
      </w:r>
      <w:r>
        <w:rPr>
          <w:rFonts w:hint="eastAsia" w:ascii="宋体" w:hAnsi="宋体" w:cs="宋体"/>
          <w:color w:val="auto"/>
          <w:highlight w:val="none"/>
          <w:u w:val="single"/>
          <w:lang w:eastAsia="zh-CN"/>
        </w:rPr>
        <w:t xml:space="preserve">JSZC-320500-SZHT-C2026-0001</w:t>
      </w:r>
      <w:r>
        <w:rPr>
          <w:rFonts w:hint="eastAsia" w:ascii="宋体" w:hAnsi="宋体" w:cs="宋体"/>
          <w:color w:val="auto"/>
          <w:szCs w:val="21"/>
          <w:highlight w:val="none"/>
        </w:rPr>
        <w:t xml:space="preserve">号的竞争性磋商活动。代理人在磋商活动过程中所签署的一切文件和处理与这有关的一切事务，我均予以承认。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right="-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磋商响应单位：（</w:t>
      </w:r>
      <w:r>
        <w:rPr>
          <w:rFonts w:hint="eastAsia" w:ascii="宋体" w:hAnsi="宋体" w:cs="宋体"/>
          <w:color w:val="auto"/>
          <w:highlight w:val="none"/>
        </w:rPr>
        <w:t xml:space="preserve">单位盖章</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 </w:t>
      </w:r>
      <w:r/>
    </w:p>
    <w:p>
      <w:pPr>
        <w:ind w:firstLine="441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（签字或盖章）</w:t>
      </w:r>
      <w:r/>
    </w:p>
    <w:p>
      <w:pPr>
        <w:ind w:right="-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                             授权委托人</w:t>
      </w:r>
      <w:r>
        <w:rPr>
          <w:rFonts w:hint="eastAsia" w:ascii="宋体" w:hAnsi="宋体" w:cs="宋体"/>
          <w:color w:val="auto"/>
          <w:szCs w:val="21"/>
          <w:highlight w:val="none"/>
          <w:lang w:val="zh-CN"/>
        </w:rPr>
        <w:t xml:space="preserve">：（签字或盖章）</w:t>
      </w:r>
      <w:r/>
    </w:p>
    <w:p>
      <w:pPr>
        <w:ind w:right="-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  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pStyle w:val="735"/>
        <w:ind w:firstLine="0"/>
        <w:jc w:val="both"/>
        <w:spacing w:line="360" w:lineRule="auto"/>
        <w:rPr>
          <w:rFonts w:ascii="宋体" w:hAnsi="宋体" w:cs="宋体"/>
          <w:color w:val="auto"/>
          <w:highlight w:val="none"/>
          <w:lang w:val="zh-CN"/>
        </w:rPr>
        <w:outlineLvl w:val="1"/>
      </w:pPr>
      <w:r>
        <w:rPr>
          <w:rFonts w:ascii="宋体" w:hAnsi="宋体" w:cs="宋体"/>
          <w:color w:val="auto"/>
          <w:highlight w:val="none"/>
          <w:lang w:val="zh-CN"/>
        </w:rPr>
      </w:r>
      <w:r/>
    </w:p>
    <w:p>
      <w:pPr>
        <w:pStyle w:val="761"/>
        <w:spacing w:before="75" w:beforeAutospacing="0" w:after="75"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附：法人代表、授权代表的身份证正反面复印件</w:t>
      </w:r>
      <w:r/>
    </w:p>
    <w:tbl>
      <w:tblPr>
        <w:tblStyle w:val="73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645"/>
        </w:trPr>
        <w:tc>
          <w:tcPr>
            <w:tcBorders>
              <w:top w:val="single" w:color="auto" w:sz="6" w:space="0"/>
              <w:left w:val="single" w:color="auto" w:sz="6" w:space="0"/>
              <w:bottom w:val="single" w:color="auto" w:sz="6" w:space="0"/>
              <w:right w:val="single" w:color="auto" w:sz="6" w:space="0"/>
            </w:tcBorders>
            <w:tcMar>
              <w:left w:w="105" w:type="dxa"/>
              <w:right w:w="105" w:type="dxa"/>
            </w:tcMar>
            <w:tcW w:w="8565" w:type="dxa"/>
            <w:vAlign w:val="center"/>
            <w:textDirection w:val="lrTb"/>
            <w:noWrap w:val="false"/>
          </w:tcPr>
          <w:p>
            <w:pPr>
              <w:pStyle w:val="76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p>
          <w:p>
            <w:pPr>
              <w:pStyle w:val="76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要求：真实、有效、清晰</w:t>
            </w:r>
            <w:r/>
          </w:p>
          <w:p>
            <w:pPr>
              <w:pStyle w:val="76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p>
        </w:tc>
      </w:tr>
    </w:tbl>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3、磋商响应报价表</w:t>
      </w:r>
      <w:r/>
    </w:p>
    <w:p>
      <w:pPr>
        <w:pStyle w:val="735"/>
        <w:ind w:firstLine="0"/>
        <w:jc w:val="center"/>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磋商响应报价表（第一次报价）</w:t>
      </w:r>
      <w:r/>
    </w:p>
    <w:p>
      <w:pPr>
        <w:rPr>
          <w:rFonts w:ascii="宋体" w:hAnsi="宋体" w:cs="宋体"/>
          <w:b/>
          <w:color w:val="auto"/>
          <w:szCs w:val="21"/>
          <w:highlight w:val="none"/>
        </w:rPr>
      </w:pPr>
      <w:r>
        <w:rPr>
          <w:rFonts w:ascii="宋体" w:hAnsi="宋体" w:cs="宋体"/>
          <w:b/>
          <w:color w:val="auto"/>
          <w:szCs w:val="21"/>
          <w:highlight w:val="none"/>
        </w:rPr>
      </w:r>
      <w:r/>
    </w:p>
    <w:p>
      <w:pPr>
        <w:pStyle w:val="761"/>
        <w:rPr>
          <w:rFonts w:hint="eastAsia"/>
          <w:color w:val="auto"/>
          <w:sz w:val="21"/>
          <w:szCs w:val="21"/>
          <w:highlight w:val="none"/>
        </w:rPr>
      </w:pPr>
      <w:r>
        <w:rPr>
          <w:rFonts w:hint="eastAsia"/>
          <w:color w:val="auto"/>
          <w:sz w:val="21"/>
          <w:szCs w:val="21"/>
          <w:highlight w:val="none"/>
        </w:rPr>
        <w:t xml:space="preserve">项目编号：</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45"/>
        <w:gridCol w:w="4820"/>
        <w:gridCol w:w="1575"/>
        <w:gridCol w:w="769"/>
      </w:tblGrid>
      <w:tr>
        <w:trPr>
          <w:jc w:val="center"/>
          <w:trHeight w:val="656"/>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76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firstLine="84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基准价</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报价</w:t>
            </w:r>
            <w:r>
              <w:rPr>
                <w:rFonts w:hint="eastAsia" w:hAnsi="宋体" w:eastAsia="宋体" w:cs="宋体"/>
                <w:color w:val="auto"/>
                <w:sz w:val="21"/>
                <w:szCs w:val="21"/>
                <w:highlight w:val="none"/>
                <w:lang w:eastAsia="zh-CN"/>
              </w:rPr>
              <w:t xml:space="preserve">优惠率</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968"/>
        </w:trPr>
        <w:tc>
          <w:tcPr>
            <w:tcBorders>
              <w:top w:val="single" w:color="auto" w:sz="4" w:space="0"/>
              <w:left w:val="single" w:color="auto" w:sz="4" w:space="0"/>
              <w:right w:val="single" w:color="auto" w:sz="4" w:space="0"/>
            </w:tcBorders>
            <w:tcW w:w="855" w:type="dxa"/>
            <w:vAlign w:val="center"/>
            <w:textDirection w:val="lrTb"/>
            <w:noWrap w:val="false"/>
          </w:tcPr>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right w:val="single" w:color="auto" w:sz="4" w:space="0"/>
            </w:tcBorders>
            <w:tcW w:w="1345" w:type="dxa"/>
            <w:vAlign w:val="center"/>
            <w:textDirection w:val="lrTb"/>
            <w:noWrap w:val="false"/>
          </w:tcPr>
          <w:p>
            <w:pPr>
              <w:jc w:val="center"/>
              <w:spacing w:line="440" w:lineRule="exact"/>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r>
            <w:r/>
          </w:p>
        </w:tc>
        <w:tc>
          <w:tcPr>
            <w:tcBorders>
              <w:top w:val="single" w:color="auto" w:sz="4" w:space="0"/>
              <w:left w:val="single" w:color="auto" w:sz="4" w:space="0"/>
              <w:right w:val="single" w:color="auto" w:sz="4" w:space="0"/>
            </w:tcBorders>
            <w:tcW w:w="4820" w:type="dxa"/>
            <w:vAlign w:val="center"/>
            <w:textDirection w:val="lrTb"/>
            <w:noWrap w:val="false"/>
          </w:tcPr>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以苏州市发展和改革委员会网站发布的苏州市部分农贸市场零售均价为基准价</w:t>
            </w:r>
            <w:r/>
          </w:p>
        </w:tc>
        <w:tc>
          <w:tcPr>
            <w:tcBorders>
              <w:top w:val="single" w:color="auto" w:sz="4" w:space="0"/>
              <w:left w:val="single" w:color="auto" w:sz="4" w:space="0"/>
              <w:right w:val="single" w:color="auto" w:sz="4" w:space="0"/>
            </w:tcBorders>
            <w:tcW w:w="1575"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注：1、以苏州市发展和改革委员会网站发布的苏州市部分农贸市场零售均价为基准价http://fg.suzhou.gov.cn/szfgw/scdt/nav_list.shtml。</w:t>
      </w:r>
      <w:r/>
    </w:p>
    <w:p>
      <w:pPr>
        <w:numPr>
          <w:ilvl w:val="0"/>
          <w:numId w:val="0"/>
        </w:num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1"/>
          <w:szCs w:val="21"/>
          <w:highlight w:val="none"/>
        </w:rPr>
        <w:t xml:space="preserve">各供应商按照优惠率报价，如报价打九折（折扣率90%），则优惠10%,则报价表中报价填写优惠率10%；如报价打八五折（折扣率85%），则优惠15%,则报价表中报价填写优惠率15%；以此类推。</w:t>
      </w:r>
      <w:r/>
    </w:p>
    <w:p>
      <w:pPr>
        <w:pStyle w:val="744"/>
        <w:spacing w:line="360" w:lineRule="auto"/>
        <w:rPr>
          <w:rFonts w:hAnsi="宋体" w:cs="宋体"/>
          <w:color w:val="auto"/>
          <w:szCs w:val="21"/>
          <w:highlight w:val="none"/>
        </w:rPr>
      </w:pPr>
      <w:r>
        <w:rPr>
          <w:rFonts w:hAnsi="宋体" w:cs="宋体"/>
          <w:color w:val="auto"/>
          <w:szCs w:val="21"/>
          <w:highlight w:val="none"/>
        </w:rPr>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磋商响应单位：（单位盖章）</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法定代表人或代理人：（签字或盖章）</w:t>
      </w:r>
      <w:r/>
    </w:p>
    <w:p>
      <w:pPr>
        <w:ind w:right="-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    日期：     年     月     日</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rPr>
          <w:rFonts w:ascii="宋体" w:hAnsi="宋体" w:cs="宋体"/>
          <w:color w:val="auto"/>
          <w:szCs w:val="21"/>
          <w:highlight w:val="none"/>
        </w:rPr>
        <w:outlineLvl w:val="0"/>
      </w:pPr>
      <w:r>
        <w:rPr>
          <w:rFonts w:hint="eastAsia" w:ascii="宋体" w:hAnsi="宋体" w:cs="宋体"/>
          <w:b/>
          <w:color w:val="auto"/>
          <w:szCs w:val="21"/>
          <w:highlight w:val="none"/>
        </w:rPr>
        <w:t xml:space="preserve">4、</w:t>
      </w:r>
      <w:r>
        <w:rPr>
          <w:rFonts w:hint="eastAsia" w:ascii="宋体" w:hAnsi="宋体" w:cs="宋体"/>
          <w:b/>
          <w:color w:val="auto"/>
          <w:highlight w:val="none"/>
        </w:rPr>
        <w:t xml:space="preserve">偏离表</w:t>
      </w:r>
      <w:r/>
    </w:p>
    <w:p>
      <w:pPr>
        <w:pStyle w:val="936"/>
        <w:jc w:val="center"/>
        <w:spacing w:line="360" w:lineRule="auto"/>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商务条款偏离表</w:t>
      </w:r>
      <w:r/>
    </w:p>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项目名称:                      </w:t>
      </w:r>
      <w:r/>
    </w:p>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项目编号:            </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40"/>
        <w:gridCol w:w="2520"/>
        <w:gridCol w:w="2520"/>
        <w:gridCol w:w="900"/>
      </w:tblGrid>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jc w:val="center"/>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jc w:val="center"/>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招标文件条款号</w:t>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jc w:val="center"/>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招标文件的商务条款</w:t>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jc w:val="center"/>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投标文件的商务条款</w:t>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jc w:val="center"/>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说明</w:t>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jc w:val="center"/>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jc w:val="center"/>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5"/>
        </w:trPr>
        <w:tc>
          <w:tcPr>
            <w:tcBorders>
              <w:top w:val="single" w:color="auto" w:sz="4" w:space="0"/>
              <w:left w:val="single" w:color="auto" w:sz="4" w:space="0"/>
              <w:bottom w:val="single" w:color="auto" w:sz="4" w:space="0"/>
              <w:right w:val="single" w:color="auto" w:sz="4" w:space="0"/>
            </w:tcBorders>
            <w:tcW w:w="78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4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人的</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文件（除服务要求部分）与</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文件规定的有偏离的，应在此表中说明。未在上表中说明的，如在</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文件其他内容中已有文字说明的，则以已有文字说明为准，否则，将被认为完全响应</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文件的规定。</w:t>
      </w:r>
      <w:r/>
    </w:p>
    <w:p>
      <w:pPr>
        <w:pStyle w:val="936"/>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磋商响应单位：（单位盖章）</w:t>
      </w:r>
      <w:r/>
    </w:p>
    <w:p>
      <w:pPr>
        <w:pStyle w:val="936"/>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法定代表人或代理人：（签字或盖章）</w:t>
      </w:r>
      <w:r/>
    </w:p>
    <w:p>
      <w:pPr>
        <w:pStyle w:val="936"/>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bidi="ar"/>
        </w:rPr>
        <w:t xml:space="preserve"> 日期：     年     月     日</w:t>
      </w:r>
      <w:r/>
    </w:p>
    <w:p>
      <w:pPr>
        <w:pStyle w:val="936"/>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tabs>
          <w:tab w:val="left" w:pos="1320"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jc w:val="cente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jc w:val="cente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jc w:val="cente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jc w:val="cente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服务要求偏离表</w:t>
      </w:r>
      <w:r/>
    </w:p>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项目名称: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项目编号:</w:t>
      </w:r>
      <w:r/>
    </w:p>
    <w:tbl>
      <w:tblPr>
        <w:tblStyle w:val="732"/>
        <w:tblW w:w="0" w:type="auto"/>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1585"/>
        <w:gridCol w:w="1586"/>
        <w:gridCol w:w="1462"/>
        <w:gridCol w:w="1671"/>
        <w:gridCol w:w="1838"/>
      </w:tblGrid>
      <w:tr>
        <w:trPr>
          <w:trHeight w:val="624"/>
        </w:trPr>
        <w:tc>
          <w:tcPr>
            <w:tcW w:w="1035" w:type="dxa"/>
            <w:vAlign w:val="center"/>
            <w:textDirection w:val="lrTb"/>
            <w:noWrap w:val="false"/>
          </w:tcPr>
          <w:p>
            <w:pPr>
              <w:jc w:val="center"/>
              <w:spacing w:before="240" w:after="24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8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采购要求</w:t>
            </w:r>
            <w:r/>
          </w:p>
        </w:tc>
        <w:tc>
          <w:tcPr>
            <w:tcW w:w="146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W w:w="167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偏离/响应</w:t>
            </w:r>
            <w:r/>
          </w:p>
        </w:tc>
        <w:tc>
          <w:tcPr>
            <w:tcW w:w="18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502"/>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11"/>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21"/>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9"/>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91"/>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4"/>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22"/>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22"/>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22"/>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3"/>
        </w:trPr>
        <w:tc>
          <w:tcPr>
            <w:tcW w:w="103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5"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86" w:type="dxa"/>
            <w:vAlign w:val="top"/>
            <w:textDirection w:val="lrTb"/>
            <w:noWrap w:val="false"/>
          </w:tcPr>
          <w:p>
            <w:pPr>
              <w:pStyle w:val="761"/>
              <w:ind w:left="1080"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人应对照</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文件要求，所提供的服务与</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文件的规定有偏离的，应在此表中申明与采购要求的偏差和例外。</w:t>
      </w:r>
      <w:r/>
    </w:p>
    <w:p>
      <w:pPr>
        <w:pStyle w:val="76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2、未在上表中说明的，如在</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文件其他内容中已有文字说明的，则以已有文字说明为准，否则，将被认为完全响应</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文件的规定。</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磋商响应单位：（单位盖章）</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法定代表人或代理人：（签字或盖章）</w:t>
      </w:r>
      <w:r/>
    </w:p>
    <w:p>
      <w:pPr>
        <w:ind w:right="-200"/>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   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ind w:right="357"/>
        <w:spacing w:line="400" w:lineRule="exact"/>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5、针对本项目的人员配备、设备</w:t>
      </w:r>
      <w:r>
        <w:rPr>
          <w:rFonts w:hint="eastAsia" w:ascii="宋体" w:hAnsi="宋体" w:cs="宋体"/>
          <w:b/>
          <w:color w:val="auto"/>
          <w:szCs w:val="21"/>
          <w:highlight w:val="none"/>
          <w:lang w:eastAsia="zh-CN"/>
        </w:rPr>
        <w:t xml:space="preserve">一览表</w:t>
      </w:r>
      <w:r/>
    </w:p>
    <w:p>
      <w:pPr>
        <w:ind w:right="357"/>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针对本项目的人员配备一览表</w:t>
      </w:r>
      <w:r/>
    </w:p>
    <w:p>
      <w:pPr>
        <w:ind w:left="420" w:right="357" w:hanging="400"/>
        <w:spacing w:before="120" w:line="40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项目编号</w:t>
      </w:r>
      <w:r>
        <w:rPr>
          <w:rFonts w:hint="eastAsia" w:ascii="宋体" w:hAnsi="宋体" w:eastAsia="宋体" w:cs="宋体"/>
          <w:bCs/>
          <w:color w:val="auto"/>
          <w:sz w:val="21"/>
          <w:szCs w:val="21"/>
          <w:highlight w:val="none"/>
          <w:shd w:val="clear" w:color="auto" w:fill="ffffff"/>
        </w:rPr>
        <w:t xml:space="preserve">：</w:t>
      </w:r>
      <w:r>
        <w:rPr>
          <w:rFonts w:hint="eastAsia" w:ascii="宋体" w:hAnsi="宋体" w:cs="宋体"/>
          <w:color w:val="auto"/>
          <w:sz w:val="21"/>
          <w:szCs w:val="21"/>
          <w:highlight w:val="none"/>
          <w:u w:val="single"/>
          <w:lang w:eastAsia="zh-CN"/>
        </w:rPr>
        <w:t xml:space="preserve">JSZC-320500-SZHT-C2026-0001</w:t>
      </w:r>
      <w:r/>
    </w:p>
    <w:tbl>
      <w:tblPr>
        <w:tblStyle w:val="732"/>
        <w:tblW w:w="857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1627"/>
        <w:gridCol w:w="1302"/>
        <w:gridCol w:w="1138"/>
        <w:gridCol w:w="1220"/>
        <w:gridCol w:w="1894"/>
      </w:tblGrid>
      <w:tr>
        <w:trPr>
          <w:trHeight w:val="582"/>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所任职务</w:t>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从事本工作时间</w:t>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7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注：可参照以上格式自制表格填写后响应。</w:t>
      </w:r>
      <w:r/>
    </w:p>
    <w:p>
      <w:pPr>
        <w:pStyle w:val="735"/>
        <w:ind w:firstLine="0"/>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ind w:right="-200" w:firstLine="31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法定代表人或代理人：（签字或盖章）</w:t>
      </w:r>
      <w:r/>
    </w:p>
    <w:p>
      <w:pPr>
        <w:ind w:right="-200" w:firstLine="31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pStyle w:val="735"/>
        <w:ind w:firstLine="0"/>
        <w:jc w:val="both"/>
        <w:spacing w:line="360" w:lineRule="auto"/>
        <w:rPr>
          <w:rFonts w:ascii="宋体" w:hAnsi="宋体" w:cs="宋体"/>
          <w:b/>
          <w:color w:val="auto"/>
          <w:sz w:val="21"/>
          <w:szCs w:val="21"/>
          <w:highlight w:val="none"/>
        </w:rPr>
        <w:outlineLvl w:val="1"/>
      </w:pPr>
      <w:r>
        <w:rPr>
          <w:rFonts w:ascii="宋体" w:hAnsi="宋体" w:cs="宋体"/>
          <w:b/>
          <w:color w:val="auto"/>
          <w:sz w:val="21"/>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pStyle w:val="744"/>
        <w:jc w:val="center"/>
        <w:spacing w:line="360" w:lineRule="auto"/>
        <w:rPr>
          <w:rFonts w:hAnsi="宋体" w:cs="宋体"/>
          <w:color w:val="auto"/>
          <w:szCs w:val="21"/>
          <w:highlight w:val="none"/>
        </w:rPr>
      </w:pPr>
      <w:r>
        <w:rPr>
          <w:rFonts w:hint="eastAsia" w:hAnsi="宋体" w:cs="宋体"/>
          <w:b/>
          <w:color w:val="auto"/>
          <w:szCs w:val="21"/>
          <w:highlight w:val="none"/>
        </w:rPr>
        <w:t xml:space="preserve">投入本项目主要设备一览表</w:t>
      </w:r>
      <w:r/>
    </w:p>
    <w:p>
      <w:pPr>
        <w:ind w:left="420" w:right="357" w:hanging="400"/>
        <w:spacing w:before="120" w:line="40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bCs/>
          <w:color w:val="auto"/>
          <w:sz w:val="21"/>
          <w:szCs w:val="21"/>
          <w:highlight w:val="none"/>
        </w:rPr>
        <w:t xml:space="preserve">项目编号</w:t>
      </w:r>
      <w:r>
        <w:rPr>
          <w:rFonts w:hint="eastAsia" w:ascii="宋体" w:hAnsi="宋体" w:eastAsia="宋体" w:cs="宋体"/>
          <w:bCs/>
          <w:color w:val="auto"/>
          <w:sz w:val="21"/>
          <w:szCs w:val="21"/>
          <w:highlight w:val="none"/>
          <w:shd w:val="clear" w:color="auto" w:fill="ffffff"/>
        </w:rPr>
        <w:t xml:space="preserve">：</w:t>
      </w:r>
      <w:r>
        <w:rPr>
          <w:rFonts w:hint="eastAsia" w:ascii="宋体" w:hAnsi="宋体" w:cs="宋体"/>
          <w:color w:val="auto"/>
          <w:sz w:val="21"/>
          <w:szCs w:val="21"/>
          <w:highlight w:val="none"/>
          <w:u w:val="single"/>
          <w:lang w:eastAsia="zh-CN"/>
        </w:rPr>
        <w:t xml:space="preserve">JSZC-320500-SZHT-C2026-0001</w:t>
      </w:r>
      <w:r/>
    </w:p>
    <w:tbl>
      <w:tblPr>
        <w:tblStyle w:val="73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7"/>
        <w:gridCol w:w="1365"/>
        <w:gridCol w:w="2410"/>
        <w:gridCol w:w="709"/>
        <w:gridCol w:w="992"/>
        <w:gridCol w:w="2627"/>
      </w:tblGrid>
      <w:tr>
        <w:trPr>
          <w:cantSplit/>
          <w:jc w:val="center"/>
          <w:trHeight w:val="770"/>
        </w:trPr>
        <w:tc>
          <w:tcPr>
            <w:tcW w:w="997" w:type="dxa"/>
            <w:vAlign w:val="center"/>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65" w:type="dxa"/>
            <w:vAlign w:val="center"/>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bottom w:val="single" w:color="auto" w:sz="4" w:space="0"/>
            </w:tcBorders>
            <w:tcW w:w="2410" w:type="dxa"/>
            <w:vAlign w:val="center"/>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right w:val="single" w:color="auto" w:sz="4" w:space="0"/>
            </w:tcBorders>
            <w:tcW w:w="709" w:type="dxa"/>
            <w:vAlign w:val="center"/>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tcBorders>
            <w:tcW w:w="992" w:type="dxa"/>
            <w:vAlign w:val="center"/>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2627" w:type="dxa"/>
            <w:vAlign w:val="center"/>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（自有/租赁/新购）</w:t>
            </w:r>
            <w:r/>
          </w:p>
        </w:tc>
      </w:tr>
      <w:tr>
        <w:trPr>
          <w:cantSplit/>
          <w:jc w:val="center"/>
        </w:trPr>
        <w:tc>
          <w:tcPr>
            <w:tcW w:w="99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65"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tcBorders>
            <w:tcW w:w="2410"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709"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992"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2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99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65"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0"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709"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992"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2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99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65"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0"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709"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992"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2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99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65"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0"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709"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992"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27" w:type="dxa"/>
            <w:vAlign w:val="top"/>
            <w:textDirection w:val="lrTb"/>
            <w:noWrap w:val="false"/>
          </w:tcPr>
          <w:p>
            <w:pPr>
              <w:pStyle w:val="93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注：可参照以上格式自制表格填写后响应。</w:t>
      </w:r>
      <w:r/>
    </w:p>
    <w:p>
      <w:pPr>
        <w:pStyle w:val="735"/>
        <w:ind w:firstLine="0"/>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ind w:right="-200" w:firstLine="29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磋商响应单位：（单位盖章）</w:t>
      </w:r>
      <w:r/>
    </w:p>
    <w:p>
      <w:pPr>
        <w:ind w:right="-20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法定代表人或代理人：（签字或盖章）</w:t>
      </w:r>
      <w:r/>
    </w:p>
    <w:p>
      <w:pPr>
        <w:pStyle w:val="735"/>
        <w:ind w:firstLine="2940"/>
        <w:jc w:val="both"/>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、类似项目业绩一览表</w:t>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类似项目业绩一览表</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1"/>
        <w:ind w:left="0" w:firstLine="0"/>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u w:val="single"/>
          <w:lang w:eastAsia="zh-CN"/>
        </w:rPr>
        <w:t xml:space="preserve">JSZC-320500-SZHT-C2026-0001</w:t>
      </w:r>
      <w:r/>
    </w:p>
    <w:tbl>
      <w:tblPr>
        <w:tblStyle w:val="73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5"/>
        <w:gridCol w:w="1643"/>
        <w:gridCol w:w="1643"/>
        <w:gridCol w:w="1954"/>
        <w:gridCol w:w="1720"/>
        <w:gridCol w:w="950"/>
      </w:tblGrid>
      <w:tr>
        <w:trPr>
          <w:cantSplit/>
          <w:jc w:val="center"/>
          <w:trHeight w:val="740"/>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6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p>
        </w:tc>
        <w:tc>
          <w:tcPr>
            <w:tcBorders>
              <w:right w:val="single" w:color="auto" w:sz="4" w:space="0"/>
            </w:tcBorders>
            <w:tcW w:w="1954"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Borders>
              <w:left w:val="single" w:color="auto" w:sz="4" w:space="0"/>
              <w:right w:val="single" w:color="auto" w:sz="4" w:space="0"/>
            </w:tcBorders>
            <w:tcW w:w="172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合同金额（万元）</w:t>
            </w:r>
            <w:r/>
          </w:p>
        </w:tc>
        <w:tc>
          <w:tcPr>
            <w:tcW w:w="95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510" w:hRule="exact"/>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015" w:type="dxa"/>
            <w:vAlign w:val="center"/>
            <w:textDirection w:val="tbRlV"/>
            <w:noWrap w:val="false"/>
          </w:tcPr>
          <w:p>
            <w:pPr>
              <w:ind w:left="113" w:right="113"/>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ind w:left="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01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right w:val="single" w:color="auto" w:sz="4" w:space="0"/>
            </w:tcBorders>
            <w:tcW w:w="1954"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72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00" w:firstLine="29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磋商响应单位：（单位盖章）</w:t>
      </w:r>
      <w:r/>
    </w:p>
    <w:p>
      <w:pPr>
        <w:ind w:right="-20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法定代表人或代理人：（签字或盖章）</w:t>
      </w:r>
      <w:r/>
    </w:p>
    <w:p>
      <w:pPr>
        <w:pStyle w:val="735"/>
        <w:ind w:firstLine="2940"/>
        <w:jc w:val="both"/>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日期：     年     月     日</w:t>
      </w:r>
      <w:r/>
    </w:p>
    <w:p>
      <w:pPr>
        <w:pStyle w:val="735"/>
        <w:ind w:firstLine="0"/>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pStyle w:val="735"/>
        <w:ind w:firstLine="0"/>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735"/>
        <w:ind w:firstLine="0"/>
        <w:jc w:val="both"/>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、资格证明文件</w:t>
      </w:r>
      <w:r/>
    </w:p>
    <w:p>
      <w:pPr>
        <w:pStyle w:val="735"/>
        <w:ind w:firstLine="0"/>
        <w:jc w:val="both"/>
        <w:spacing w:line="360" w:lineRule="auto"/>
        <w:rPr>
          <w:rFonts w:ascii="宋体" w:hAnsi="宋体" w:cs="宋体"/>
          <w:b/>
          <w:color w:val="auto"/>
          <w:sz w:val="21"/>
          <w:szCs w:val="21"/>
          <w:highlight w:val="none"/>
        </w:rPr>
        <w:outlineLvl w:val="2"/>
      </w:pPr>
      <w:r>
        <w:rPr>
          <w:rFonts w:hint="eastAsia" w:ascii="宋体" w:hAnsi="宋体" w:cs="宋体"/>
          <w:b/>
          <w:color w:val="auto"/>
          <w:sz w:val="21"/>
          <w:szCs w:val="21"/>
          <w:highlight w:val="none"/>
        </w:rPr>
        <w:t xml:space="preserve">(1)、关于资格文件的声明函</w:t>
      </w:r>
      <w:r/>
    </w:p>
    <w:p>
      <w:pPr>
        <w:pStyle w:val="735"/>
        <w:ind w:firstLine="0"/>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5"/>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关于资格文件的声明函</w:t>
      </w:r>
      <w:r/>
    </w:p>
    <w:p>
      <w:pPr>
        <w:pStyle w:val="735"/>
        <w:ind w:firstLine="0"/>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5"/>
        <w:ind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苏州恒泰招投标咨询服务有限公司</w:t>
      </w:r>
      <w:r>
        <w:rPr>
          <w:rFonts w:hint="eastAsia" w:ascii="宋体" w:hAnsi="宋体" w:cs="宋体"/>
          <w:color w:val="auto"/>
          <w:sz w:val="21"/>
          <w:szCs w:val="21"/>
          <w:highlight w:val="none"/>
        </w:rPr>
        <w:t xml:space="preserve">：</w:t>
      </w:r>
      <w:r/>
    </w:p>
    <w:p>
      <w:pPr>
        <w:pStyle w:val="735"/>
        <w:ind w:firstLine="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5"/>
        <w:jc w:val="both"/>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lang w:eastAsia="zh-CN"/>
        </w:rPr>
        <w:t xml:space="preserve">JSZC-320500-SZHT-C2026-0001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735"/>
        <w:jc w:val="both"/>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5"/>
        <w:ind w:firstLine="480"/>
        <w:jc w:val="both"/>
        <w:spacing w:line="360" w:lineRule="auto"/>
        <w:rPr>
          <w:rFonts w:ascii="宋体" w:hAnsi="宋体" w:cs="宋体"/>
          <w:color w:val="auto"/>
          <w:highlight w:val="none"/>
        </w:rPr>
      </w:pPr>
      <w:r>
        <w:rPr>
          <w:rFonts w:ascii="宋体" w:hAnsi="宋体" w:cs="宋体"/>
          <w:color w:val="auto"/>
          <w:highlight w:val="none"/>
        </w:rPr>
      </w:r>
      <w:r/>
    </w:p>
    <w:p>
      <w:pPr>
        <w:pStyle w:val="735"/>
        <w:ind w:firstLine="480"/>
        <w:jc w:val="both"/>
        <w:spacing w:line="360" w:lineRule="auto"/>
        <w:rPr>
          <w:rFonts w:ascii="宋体" w:hAnsi="宋体" w:cs="宋体"/>
          <w:color w:val="auto"/>
          <w:highlight w:val="none"/>
        </w:rPr>
      </w:pPr>
      <w:r>
        <w:rPr>
          <w:rFonts w:ascii="宋体" w:hAnsi="宋体" w:cs="宋体"/>
          <w:color w:val="auto"/>
          <w:highlight w:val="none"/>
        </w:rPr>
      </w:r>
      <w:r/>
    </w:p>
    <w:p>
      <w:pPr>
        <w:ind w:right="-200" w:firstLine="29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法定代表人或代理人：（签字或盖章）</w:t>
      </w:r>
      <w:r/>
    </w:p>
    <w:p>
      <w:pPr>
        <w:pStyle w:val="735"/>
        <w:ind w:firstLine="2940"/>
        <w:jc w:val="both"/>
        <w:spacing w:line="360" w:lineRule="auto"/>
        <w:rPr>
          <w:rFonts w:ascii="宋体" w:hAnsi="宋体" w:cs="宋体"/>
          <w:b/>
          <w:color w:val="auto"/>
          <w:sz w:val="21"/>
          <w:szCs w:val="21"/>
          <w:highlight w:val="none"/>
        </w:rPr>
        <w:outlineLvl w:val="1"/>
      </w:pPr>
      <w:r>
        <w:rPr>
          <w:rFonts w:hint="eastAsia" w:ascii="宋体" w:hAnsi="宋体" w:cs="宋体"/>
          <w:color w:val="auto"/>
          <w:sz w:val="21"/>
          <w:szCs w:val="21"/>
          <w:highlight w:val="none"/>
        </w:rPr>
        <w:t xml:space="preserve">日期：     年     月     日</w:t>
      </w:r>
      <w:r/>
    </w:p>
    <w:p>
      <w:pPr>
        <w:pStyle w:val="924"/>
        <w:ind w:firstLine="4830"/>
        <w:spacing w:line="360" w:lineRule="auto"/>
        <w:rPr>
          <w:rFonts w:hAnsi="宋体" w:cs="宋体"/>
          <w:color w:val="auto"/>
          <w:szCs w:val="21"/>
          <w:highlight w:val="none"/>
        </w:rPr>
      </w:pPr>
      <w:r>
        <w:rPr>
          <w:rFonts w:hAnsi="宋体" w:cs="宋体"/>
          <w:color w:val="auto"/>
          <w:szCs w:val="21"/>
          <w:highlight w:val="none"/>
        </w:rPr>
      </w:r>
      <w:r/>
    </w:p>
    <w:p>
      <w:pPr>
        <w:pStyle w:val="735"/>
        <w:ind w:firstLine="0"/>
        <w:jc w:val="both"/>
        <w:spacing w:line="360" w:lineRule="auto"/>
        <w:rPr>
          <w:rFonts w:ascii="宋体" w:hAnsi="宋体" w:cs="宋体"/>
          <w:b/>
          <w:color w:val="auto"/>
          <w:sz w:val="21"/>
          <w:szCs w:val="21"/>
          <w:highlight w:val="none"/>
        </w:rPr>
        <w:outlineLvl w:val="2"/>
      </w:pPr>
      <w:r>
        <w:rPr>
          <w:rFonts w:hint="eastAsia" w:ascii="宋体" w:hAnsi="宋体" w:cs="宋体"/>
          <w:color w:val="auto"/>
          <w:highlight w:val="none"/>
        </w:rPr>
        <w:br w:type="page" w:clear="all"/>
      </w:r>
      <w:r>
        <w:rPr>
          <w:rFonts w:hint="eastAsia" w:ascii="宋体" w:hAnsi="宋体" w:cs="宋体"/>
          <w:b/>
          <w:color w:val="auto"/>
          <w:sz w:val="21"/>
          <w:szCs w:val="21"/>
          <w:highlight w:val="none"/>
        </w:rPr>
        <w:t xml:space="preserve">(2)、磋商供应商情况表</w:t>
      </w:r>
      <w:r/>
    </w:p>
    <w:p>
      <w:pPr>
        <w:pStyle w:val="735"/>
        <w:ind w:firstLine="0"/>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磋商供应商情况表</w:t>
      </w:r>
      <w:r/>
    </w:p>
    <w:p>
      <w:pPr>
        <w:rPr>
          <w:rFonts w:ascii="宋体" w:hAnsi="宋体" w:cs="宋体"/>
          <w:color w:val="auto"/>
          <w:highlight w:val="none"/>
        </w:rPr>
      </w:pPr>
      <w:r>
        <w:rPr>
          <w:rFonts w:hint="eastAsia" w:ascii="宋体" w:hAnsi="宋体" w:cs="宋体"/>
          <w:color w:val="auto"/>
          <w:szCs w:val="21"/>
          <w:highlight w:val="none"/>
        </w:rPr>
        <w:t xml:space="preserve">磋商响应单位名称（单位盖章）</w:t>
      </w:r>
      <w:r/>
    </w:p>
    <w:tbl>
      <w:tblPr>
        <w:tblStyle w:val="732"/>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法定代表人（负责人）</w:t>
            </w:r>
            <w:r/>
          </w:p>
        </w:tc>
        <w:tc>
          <w:tcPr>
            <w:tcW w:w="2005"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c>
          <w:tcPr>
            <w:tcW w:w="1461"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成立日期</w:t>
            </w:r>
            <w:r/>
          </w:p>
        </w:tc>
        <w:tc>
          <w:tcPr>
            <w:gridSpan w:val="2"/>
            <w:tcW w:w="3292"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企业地址</w:t>
            </w:r>
            <w:r/>
          </w:p>
        </w:tc>
        <w:tc>
          <w:tcPr>
            <w:tcW w:w="2005"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c>
          <w:tcPr>
            <w:tcW w:w="1461"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注册资本</w:t>
            </w:r>
            <w:r/>
          </w:p>
        </w:tc>
        <w:tc>
          <w:tcPr>
            <w:gridSpan w:val="2"/>
            <w:tcW w:w="3292" w:type="dxa"/>
            <w:textDirection w:val="lrTb"/>
            <w:noWrap w:val="false"/>
          </w:tcPr>
          <w:p>
            <w:pPr>
              <w:pStyle w:val="735"/>
              <w:ind w:firstLine="2160"/>
              <w:rPr>
                <w:rFonts w:ascii="宋体" w:hAnsi="宋体" w:cs="宋体"/>
                <w:color w:val="auto"/>
                <w:sz w:val="21"/>
                <w:szCs w:val="21"/>
                <w:highlight w:val="none"/>
              </w:rPr>
            </w:pPr>
            <w:r>
              <w:rPr>
                <w:rFonts w:hint="eastAsia" w:ascii="宋体" w:hAnsi="宋体" w:cs="宋体"/>
                <w:color w:val="auto"/>
                <w:sz w:val="21"/>
                <w:szCs w:val="21"/>
                <w:highlight w:val="none"/>
              </w:rPr>
              <w:t xml:space="preserve">万元</w:t>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经营范围</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职工人数</w:t>
            </w:r>
            <w:r/>
          </w:p>
        </w:tc>
        <w:tc>
          <w:tcPr>
            <w:tcW w:w="2005"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3517"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其中：有中高级以上职称的人数</w:t>
            </w:r>
            <w:r/>
          </w:p>
        </w:tc>
        <w:tc>
          <w:tcPr>
            <w:tcW w:w="1236"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vAlign w:val="center"/>
            <w:textDirection w:val="lrTb"/>
            <w:noWrap w:val="false"/>
          </w:tcPr>
          <w:p>
            <w:pPr>
              <w:pStyle w:val="735"/>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资产总计</w:t>
            </w:r>
            <w:r/>
          </w:p>
        </w:tc>
        <w:tc>
          <w:tcPr>
            <w:tcW w:w="2005" w:type="dxa"/>
            <w:vAlign w:val="center"/>
            <w:textDirection w:val="lrTb"/>
            <w:noWrap w:val="false"/>
          </w:tcPr>
          <w:p>
            <w:pPr>
              <w:pStyle w:val="735"/>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c>
          <w:tcPr>
            <w:tcW w:w="1461" w:type="dxa"/>
            <w:vAlign w:val="center"/>
            <w:textDirection w:val="lrTb"/>
            <w:noWrap w:val="false"/>
          </w:tcPr>
          <w:p>
            <w:pPr>
              <w:pStyle w:val="735"/>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净资产</w:t>
            </w:r>
            <w:r/>
          </w:p>
        </w:tc>
        <w:tc>
          <w:tcPr>
            <w:gridSpan w:val="2"/>
            <w:tcW w:w="3292" w:type="dxa"/>
            <w:vAlign w:val="center"/>
            <w:textDirection w:val="lrTb"/>
            <w:noWrap w:val="false"/>
          </w:tcPr>
          <w:p>
            <w:pPr>
              <w:pStyle w:val="735"/>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r>
      <w:tr>
        <w:trPr>
          <w:cantSplit/>
          <w:jc w:val="center"/>
          <w:trHeight w:val="245"/>
        </w:trPr>
        <w:tc>
          <w:tcPr>
            <w:tcW w:w="2510" w:type="dxa"/>
            <w:vAlign w:val="center"/>
            <w:textDirection w:val="lrTb"/>
            <w:noWrap w:val="false"/>
          </w:tcPr>
          <w:p>
            <w:pPr>
              <w:pStyle w:val="735"/>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股东权益</w:t>
            </w:r>
            <w:r/>
          </w:p>
        </w:tc>
        <w:tc>
          <w:tcPr>
            <w:tcW w:w="2005" w:type="dxa"/>
            <w:vAlign w:val="center"/>
            <w:textDirection w:val="lrTb"/>
            <w:noWrap w:val="false"/>
          </w:tcPr>
          <w:p>
            <w:pPr>
              <w:pStyle w:val="735"/>
              <w:ind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         万元</w:t>
            </w:r>
            <w:r/>
          </w:p>
        </w:tc>
        <w:tc>
          <w:tcPr>
            <w:tcW w:w="1461" w:type="dxa"/>
            <w:vAlign w:val="center"/>
            <w:textDirection w:val="lrTb"/>
            <w:noWrap w:val="false"/>
          </w:tcPr>
          <w:p>
            <w:pPr>
              <w:pStyle w:val="735"/>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销售收入</w:t>
            </w:r>
            <w:r/>
          </w:p>
        </w:tc>
        <w:tc>
          <w:tcPr>
            <w:gridSpan w:val="2"/>
            <w:tcW w:w="3292" w:type="dxa"/>
            <w:vAlign w:val="center"/>
            <w:textDirection w:val="lrTb"/>
            <w:noWrap w:val="false"/>
          </w:tcPr>
          <w:p>
            <w:pPr>
              <w:pStyle w:val="735"/>
              <w:ind w:firstLine="63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20  年          万元</w:t>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实现利润</w:t>
            </w:r>
            <w:r/>
          </w:p>
        </w:tc>
        <w:tc>
          <w:tcPr>
            <w:tcW w:w="2005"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20   年    万元</w:t>
            </w:r>
            <w:r/>
          </w:p>
        </w:tc>
        <w:tc>
          <w:tcPr>
            <w:tcW w:w="1461"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3292"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营业面积（含厂房面积）</w:t>
            </w:r>
            <w:r/>
          </w:p>
        </w:tc>
        <w:tc>
          <w:tcPr>
            <w:tcW w:w="2005" w:type="dxa"/>
            <w:vAlign w:val="center"/>
            <w:textDirection w:val="lrTb"/>
            <w:noWrap w:val="false"/>
          </w:tcPr>
          <w:p>
            <w:pPr>
              <w:pStyle w:val="735"/>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        平方米</w:t>
            </w:r>
            <w:r/>
          </w:p>
        </w:tc>
        <w:tc>
          <w:tcPr>
            <w:tcW w:w="1461"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其中：</w:t>
            </w:r>
            <w:r/>
          </w:p>
        </w:tc>
        <w:tc>
          <w:tcPr>
            <w:gridSpan w:val="2"/>
            <w:tcW w:w="3292"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自有面积         平方米</w:t>
            </w:r>
            <w:r/>
          </w:p>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承租面积         平方米</w:t>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单位简历及内设机构情况</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单位优势及特长</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近三年来完成或正在履行的重大合同情况</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最近2年内在经营过程中受到何种奖励或处分（包括情况和结果）</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最近3年内有无因售假、售劣或是其他原因被消费者投诉或起诉的情况及说明（包括解决方式和结果）</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最近3年内主要负责人有无因经济犯罪被司法机关追究的情况及说明</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获得技术认证的工程师及简介</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60"/>
        </w:trPr>
        <w:tc>
          <w:tcPr>
            <w:tcW w:w="2510" w:type="dxa"/>
            <w:textDirection w:val="lrTb"/>
            <w:noWrap w:val="false"/>
          </w:tcPr>
          <w:p>
            <w:pPr>
              <w:pStyle w:val="735"/>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其他需要说明的情况</w:t>
            </w:r>
            <w:r/>
          </w:p>
        </w:tc>
        <w:tc>
          <w:tcPr>
            <w:gridSpan w:val="4"/>
            <w:tcW w:w="6758" w:type="dxa"/>
            <w:textDirection w:val="lrTb"/>
            <w:noWrap w:val="false"/>
          </w:tcPr>
          <w:p>
            <w:pPr>
              <w:pStyle w:val="735"/>
              <w:ind w:firstLine="0"/>
              <w:rPr>
                <w:rFonts w:ascii="宋体" w:hAnsi="宋体" w:cs="宋体"/>
                <w:color w:val="auto"/>
                <w:sz w:val="21"/>
                <w:szCs w:val="21"/>
                <w:highlight w:val="none"/>
              </w:rPr>
            </w:pPr>
            <w:r>
              <w:rPr>
                <w:rFonts w:ascii="宋体" w:hAnsi="宋体" w:cs="宋体"/>
                <w:color w:val="auto"/>
                <w:sz w:val="21"/>
                <w:szCs w:val="21"/>
                <w:highlight w:val="none"/>
              </w:rPr>
            </w:r>
            <w:r/>
          </w:p>
        </w:tc>
      </w:tr>
    </w:tbl>
    <w:p>
      <w:pPr>
        <w:pStyle w:val="761"/>
        <w:spacing w:before="0" w:beforeAutospacing="0" w:after="0" w:afterAutospacing="0" w:line="480" w:lineRule="atLeast"/>
        <w:rPr>
          <w:b/>
          <w:bCs/>
          <w:color w:val="auto"/>
          <w:sz w:val="21"/>
          <w:szCs w:val="21"/>
          <w:highlight w:val="none"/>
        </w:rPr>
      </w:pPr>
      <w:r>
        <w:rPr>
          <w:rFonts w:hint="eastAsia"/>
          <w:color w:val="auto"/>
          <w:sz w:val="21"/>
          <w:szCs w:val="21"/>
          <w:highlight w:val="none"/>
        </w:rPr>
        <w:br w:type="page" w:clear="all"/>
      </w:r>
      <w:r>
        <w:rPr>
          <w:rFonts w:hint="eastAsia"/>
          <w:b/>
          <w:color w:val="auto"/>
          <w:highlight w:val="none"/>
        </w:rPr>
        <w:t xml:space="preserve">(</w:t>
      </w:r>
      <w:r>
        <w:rPr>
          <w:rFonts w:hint="eastAsia"/>
          <w:b/>
          <w:color w:val="auto"/>
          <w:sz w:val="21"/>
          <w:szCs w:val="21"/>
          <w:highlight w:val="none"/>
        </w:rPr>
        <w:t xml:space="preserve">3)、中小企业声明函</w:t>
      </w:r>
      <w:r/>
    </w:p>
    <w:p>
      <w:pPr>
        <w:pStyle w:val="735"/>
        <w:ind w:firstLine="0"/>
        <w:spacing w:line="360" w:lineRule="auto"/>
        <w:rPr>
          <w:rFonts w:ascii="宋体" w:hAnsi="宋体" w:cs="宋体"/>
          <w:b/>
          <w:color w:val="auto"/>
          <w:spacing w:val="6"/>
          <w:sz w:val="21"/>
          <w:szCs w:val="21"/>
          <w:highlight w:val="none"/>
        </w:rPr>
        <w:outlineLvl w:val="2"/>
      </w:pPr>
      <w:r>
        <w:rPr>
          <w:rFonts w:ascii="宋体" w:hAnsi="宋体" w:cs="宋体"/>
          <w:b/>
          <w:color w:val="auto"/>
          <w:spacing w:val="6"/>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中小企业声明函（服务）</w:t>
      </w:r>
      <w:r/>
    </w:p>
    <w:p>
      <w:pPr>
        <w:pStyle w:val="929"/>
        <w:spacing w:line="400" w:lineRule="exact"/>
        <w:rPr>
          <w:rFonts w:hAnsi="宋体" w:cs="宋体"/>
          <w:color w:val="auto"/>
          <w:szCs w:val="21"/>
          <w:highlight w:val="none"/>
          <w:u w:val="single"/>
          <w:lang w:val="zh-CN"/>
        </w:rPr>
      </w:pPr>
      <w:r>
        <w:rPr>
          <w:rFonts w:hAnsi="宋体" w:cs="宋体"/>
          <w:color w:val="auto"/>
          <w:szCs w:val="21"/>
          <w:highlight w:val="none"/>
          <w:u w:val="single"/>
          <w:lang w:val="zh-CN"/>
        </w:rPr>
      </w:r>
      <w:r/>
    </w:p>
    <w:p>
      <w:pPr>
        <w:pStyle w:val="929"/>
        <w:spacing w:line="400" w:lineRule="exact"/>
        <w:rPr>
          <w:rFonts w:hAnsi="宋体" w:cs="宋体"/>
          <w:color w:val="auto"/>
          <w:szCs w:val="21"/>
          <w:highlight w:val="none"/>
          <w:lang w:val="zh-CN"/>
        </w:rPr>
      </w:pPr>
      <w:r>
        <w:rPr>
          <w:rFonts w:hint="eastAsia" w:hAnsi="宋体" w:cs="宋体"/>
          <w:color w:val="auto"/>
          <w:szCs w:val="21"/>
          <w:highlight w:val="none"/>
          <w:u w:val="single"/>
          <w:lang w:val="zh-CN"/>
        </w:rPr>
        <w:t xml:space="preserve">苏州恒泰招投标咨询服务有限公司</w:t>
      </w:r>
      <w:r>
        <w:rPr>
          <w:rFonts w:hint="eastAsia" w:hAnsi="宋体" w:cs="宋体"/>
          <w:color w:val="auto"/>
          <w:szCs w:val="21"/>
          <w:highlight w:val="none"/>
          <w:lang w:val="zh-CN"/>
        </w:rPr>
        <w:t xml:space="preserve">：</w:t>
      </w:r>
      <w:r/>
    </w:p>
    <w:p>
      <w:pPr>
        <w:ind w:firstLine="420"/>
        <w:spacing w:before="36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本公司郑重声明，根据《政府采购促进中小企业发展管理办法》（财库﹝2020﹞46 号）的规定，本公司参加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采购活动，服务全部由符合政策要求的中小企业承接。相关企业的具体情况如下：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hAnsi="宋体" w:eastAsia="宋体" w:cs="宋体"/>
          <w:color w:val="auto"/>
          <w:sz w:val="21"/>
          <w:szCs w:val="21"/>
          <w:highlight w:val="none"/>
          <w:u w:val="single"/>
          <w:lang w:val="en-US" w:eastAsia="zh-CN"/>
        </w:rPr>
        <w:t xml:space="preserve">  （采购文件中明确的所属行业）  </w:t>
      </w:r>
      <w:r>
        <w:rPr>
          <w:rFonts w:hint="eastAsia" w:ascii="宋体" w:hAnsi="宋体" w:eastAsia="宋体" w:cs="宋体"/>
          <w:color w:val="auto"/>
          <w:sz w:val="21"/>
          <w:szCs w:val="21"/>
          <w:highlight w:val="none"/>
        </w:rPr>
        <w:t xml:space="preserve">； 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 小型企业、微型企业）</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 形。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929"/>
        <w:spacing w:line="360" w:lineRule="auto"/>
        <w:rPr>
          <w:rFonts w:hAnsi="宋体" w:cs="宋体"/>
          <w:color w:val="auto"/>
          <w:szCs w:val="21"/>
          <w:highlight w:val="none"/>
          <w:lang w:val="zh-CN"/>
        </w:rPr>
      </w:pPr>
      <w:r>
        <w:rPr>
          <w:rFonts w:hint="eastAsia" w:hAnsi="宋体" w:cs="宋体"/>
          <w:color w:val="auto"/>
          <w:szCs w:val="21"/>
          <w:highlight w:val="none"/>
          <w:lang w:val="zh-CN"/>
        </w:rPr>
        <w:t xml:space="preserve"> </w:t>
      </w:r>
      <w:r/>
    </w:p>
    <w:p>
      <w:pPr>
        <w:ind w:firstLine="63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磋商响应单位名称（单位盖章）</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p>
      <w:pPr>
        <w:pStyle w:val="754"/>
        <w:ind w:firstLine="630"/>
        <w:spacing w:line="240" w:lineRule="auto"/>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pStyle w:val="754"/>
        <w:ind w:firstLine="600"/>
        <w:spacing w:line="240" w:lineRule="auto"/>
        <w:rPr>
          <w:rFonts w:ascii="宋体" w:hAnsi="宋体" w:cs="宋体"/>
          <w:color w:val="auto"/>
          <w:highlight w:val="none"/>
        </w:rPr>
      </w:pPr>
      <w:r>
        <w:rPr>
          <w:rFonts w:hint="eastAsia" w:ascii="宋体" w:hAnsi="宋体" w:cs="宋体"/>
          <w:color w:val="auto"/>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color w:val="auto"/>
          <w:highlight w:val="none"/>
        </w:rPr>
        <w:t xml:space="preserve">服务类项目中供应商若使用退休人员，将不享受相应扶持政策。</w:t>
      </w:r>
      <w:r/>
    </w:p>
    <w:p>
      <w:pPr>
        <w:pStyle w:val="754"/>
        <w:ind w:firstLine="600"/>
        <w:spacing w:line="240" w:lineRule="auto"/>
        <w:rPr>
          <w:rFonts w:ascii="宋体" w:hAnsi="宋体" w:cs="宋体"/>
          <w:color w:val="auto"/>
          <w:highlight w:val="none"/>
        </w:rPr>
      </w:pPr>
      <w:r>
        <w:rPr>
          <w:rFonts w:hint="eastAsia" w:ascii="宋体" w:hAnsi="宋体" w:cs="宋体"/>
          <w:color w:val="auto"/>
          <w:highlight w:val="none"/>
        </w:rPr>
        <w:t xml:space="preserve">3.《中小企业声明函》中所填的行业应与本采购标的对应的中小企业划分标准所属行业一致，不一致的不可享受相应政策优惠。</w:t>
      </w:r>
      <w:r>
        <w:rPr>
          <w:rFonts w:hint="eastAsia" w:ascii="宋体" w:hAnsi="宋体" w:cs="宋体"/>
          <w:b/>
          <w:color w:val="auto"/>
          <w:highlight w:val="none"/>
        </w:rPr>
        <w:t xml:space="preserve">本采购标的对应的中小企业划分标准所属行业，以采购文件中具体规定为准。</w:t>
      </w:r>
      <w:r/>
    </w:p>
    <w:p>
      <w:pPr>
        <w:pStyle w:val="754"/>
        <w:ind w:firstLine="600"/>
        <w:spacing w:line="240" w:lineRule="auto"/>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b/>
          <w:color w:val="auto"/>
          <w:highlight w:val="none"/>
        </w:rPr>
        <w:t xml:space="preserve">如未对（中型企业、小型企业、微型企业）进行勾选，视同非中小微企业，不可享受相应扶持政策</w:t>
      </w:r>
      <w:r>
        <w:rPr>
          <w:rFonts w:hint="eastAsia" w:ascii="宋体" w:hAnsi="宋体" w:cs="宋体"/>
          <w:color w:val="auto"/>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highlight w:val="none"/>
        </w:rPr>
        <w:t xml:space="preserve">5.成交单位为中小企业的，《中小企业声明函》将随成交结果同时公告。</w:t>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71"/>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 〕300 号）</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w:t>
      </w:r>
      <w:r/>
    </w:p>
    <w:p>
      <w:pPr>
        <w:spacing w:line="280" w:lineRule="exact"/>
        <w:rPr>
          <w:rFonts w:ascii="宋体" w:hAnsi="宋体" w:cs="宋体"/>
          <w:color w:val="auto"/>
          <w:highlight w:val="none"/>
        </w:rPr>
      </w:pPr>
      <w:r>
        <w:rPr>
          <w:rFonts w:hint="eastAsia" w:ascii="宋体" w:hAnsi="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s="宋体"/>
          <w:color w:val="auto"/>
          <w:highlight w:val="none"/>
        </w:rPr>
      </w:pPr>
      <w:r>
        <w:rPr>
          <w:rFonts w:hint="eastAsia" w:ascii="宋体" w:hAnsi="宋体" w:cs="宋体"/>
          <w:b/>
          <w:color w:val="auto"/>
          <w:highlight w:val="none"/>
        </w:rPr>
        <w:t xml:space="preserve">（十六）其他未列明行业。</w:t>
      </w:r>
      <w:r>
        <w:rPr>
          <w:rFonts w:hint="eastAsia" w:ascii="宋体" w:hAnsi="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pStyle w:val="771"/>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771"/>
        <w:ind w:firstLine="520"/>
        <w:rPr>
          <w:rFonts w:ascii="宋体" w:hAnsi="宋体" w:cs="宋体"/>
          <w:color w:val="auto"/>
          <w:highlight w:val="none"/>
        </w:rPr>
      </w:pPr>
      <w:r>
        <w:rPr>
          <w:rFonts w:ascii="宋体" w:hAnsi="宋体" w:cs="宋体"/>
          <w:color w:val="auto"/>
          <w:highlight w:val="none"/>
        </w:rPr>
      </w:r>
      <w:r/>
    </w:p>
    <w:p>
      <w:pPr>
        <w:pStyle w:val="771"/>
        <w:ind w:firstLine="520"/>
        <w:rPr>
          <w:rFonts w:ascii="宋体" w:hAnsi="宋体" w:cs="宋体"/>
          <w:color w:val="auto"/>
          <w:highlight w:val="none"/>
        </w:rPr>
      </w:pPr>
      <w:r>
        <w:rPr>
          <w:rFonts w:ascii="宋体" w:hAnsi="宋体" w:cs="宋体"/>
          <w:color w:val="auto"/>
          <w:highlight w:val="none"/>
        </w:rPr>
      </w:r>
      <w:r/>
    </w:p>
    <w:p>
      <w:pPr>
        <w:pStyle w:val="771"/>
        <w:ind w:firstLine="520"/>
        <w:rPr>
          <w:rFonts w:ascii="宋体" w:hAnsi="宋体" w:cs="宋体"/>
          <w:color w:val="auto"/>
          <w:highlight w:val="none"/>
        </w:rPr>
      </w:pPr>
      <w:r>
        <w:rPr>
          <w:rFonts w:ascii="宋体" w:hAnsi="宋体" w:cs="宋体"/>
          <w:color w:val="auto"/>
          <w:highlight w:val="none"/>
        </w:rPr>
      </w:r>
      <w:r/>
    </w:p>
    <w:p>
      <w:pPr>
        <w:pStyle w:val="771"/>
        <w:ind w:firstLine="0"/>
        <w:rPr>
          <w:rFonts w:ascii="宋体" w:hAnsi="宋体" w:cs="宋体"/>
          <w:color w:val="auto"/>
          <w:highlight w:val="none"/>
        </w:rPr>
      </w:pPr>
      <w:r>
        <w:rPr>
          <w:rFonts w:ascii="宋体" w:hAnsi="宋体" w:cs="宋体"/>
          <w:color w:val="auto"/>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61"/>
        <w:spacing w:before="0" w:beforeAutospacing="0" w:after="0" w:afterAutospacing="0" w:line="480" w:lineRule="atLeast"/>
        <w:rPr>
          <w:b/>
          <w:bCs/>
          <w:color w:val="auto"/>
          <w:sz w:val="21"/>
          <w:szCs w:val="21"/>
          <w:highlight w:val="none"/>
        </w:rPr>
      </w:pPr>
      <w:r>
        <w:rPr>
          <w:rFonts w:hint="eastAsia"/>
          <w:b/>
          <w:bCs/>
          <w:color w:val="auto"/>
          <w:sz w:val="21"/>
          <w:szCs w:val="21"/>
          <w:highlight w:val="none"/>
        </w:rPr>
        <w:t xml:space="preserve">（4）残疾人福利性单位声明函</w:t>
      </w:r>
      <w:r/>
    </w:p>
    <w:p>
      <w:pPr>
        <w:pStyle w:val="761"/>
        <w:spacing w:before="0" w:beforeAutospacing="0" w:after="0" w:afterAutospacing="0" w:line="480" w:lineRule="atLeast"/>
        <w:rPr>
          <w:color w:val="auto"/>
          <w:sz w:val="21"/>
          <w:szCs w:val="21"/>
          <w:highlight w:val="none"/>
        </w:rPr>
      </w:pPr>
      <w:r>
        <w:rPr>
          <w:color w:val="auto"/>
          <w:sz w:val="21"/>
          <w:szCs w:val="21"/>
          <w:highlight w:val="none"/>
        </w:rPr>
      </w:r>
      <w:r/>
    </w:p>
    <w:p>
      <w:pPr>
        <w:pStyle w:val="761"/>
        <w:jc w:val="center"/>
        <w:spacing w:before="0" w:beforeAutospacing="0" w:after="0" w:afterAutospacing="0" w:line="360" w:lineRule="auto"/>
        <w:rPr>
          <w:color w:val="auto"/>
          <w:sz w:val="21"/>
          <w:szCs w:val="21"/>
          <w:highlight w:val="none"/>
        </w:rPr>
      </w:pPr>
      <w:r>
        <w:rPr>
          <w:rFonts w:hint="eastAsia"/>
          <w:color w:val="auto"/>
          <w:sz w:val="21"/>
          <w:szCs w:val="21"/>
          <w:highlight w:val="none"/>
        </w:rPr>
        <w:t xml:space="preserve">残疾人福利性单位声明函</w:t>
      </w:r>
      <w:r/>
    </w:p>
    <w:p>
      <w:pPr>
        <w:pStyle w:val="761"/>
        <w:jc w:val="center"/>
        <w:spacing w:before="0" w:beforeAutospacing="0" w:after="0" w:afterAutospacing="0" w:line="360" w:lineRule="auto"/>
        <w:rPr>
          <w:color w:val="auto"/>
          <w:sz w:val="21"/>
          <w:szCs w:val="21"/>
          <w:highlight w:val="none"/>
        </w:rPr>
      </w:pPr>
      <w:r>
        <w:rPr>
          <w:color w:val="auto"/>
          <w:sz w:val="21"/>
          <w:szCs w:val="21"/>
          <w:highlight w:val="none"/>
        </w:rPr>
      </w:r>
      <w:r/>
    </w:p>
    <w:p>
      <w:pPr>
        <w:spacing w:line="360" w:lineRule="auto"/>
        <w:rPr>
          <w:rFonts w:ascii="宋体" w:hAnsi="宋体" w:cs="宋体"/>
          <w:color w:val="auto"/>
          <w:szCs w:val="21"/>
          <w:highlight w:val="none"/>
        </w:rPr>
      </w:pPr>
      <w:r/>
      <w:bookmarkStart w:id="2" w:name="_Toc32206"/>
      <w:r/>
      <w:bookmarkStart w:id="3" w:name="_Toc15378"/>
      <w:r/>
      <w:bookmarkStart w:id="4" w:name="_Toc3869"/>
      <w:r>
        <w:rPr>
          <w:rFonts w:hint="eastAsia" w:ascii="宋体" w:hAnsi="宋体" w:cs="宋体"/>
          <w:color w:val="auto"/>
          <w:szCs w:val="21"/>
          <w:highlight w:val="none"/>
          <w:u w:val="single"/>
          <w:lang w:val="zh-CN"/>
        </w:rPr>
        <w:t xml:space="preserve">苏州恒泰招投标咨询服务有限公司</w:t>
      </w:r>
      <w:r>
        <w:rPr>
          <w:rFonts w:hint="eastAsia" w:ascii="宋体" w:hAnsi="宋体" w:cs="宋体"/>
          <w:color w:val="auto"/>
          <w:szCs w:val="21"/>
          <w:highlight w:val="none"/>
          <w:lang w:val="zh-CN"/>
        </w:rPr>
        <w:t xml:space="preserve">：</w:t>
      </w:r>
      <w:bookmarkEnd w:id="2"/>
      <w:r/>
      <w:bookmarkEnd w:id="3"/>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lang w:val="zh-CN"/>
        </w:rPr>
        <w:t xml:space="preserve">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号的采购活动</w:t>
      </w:r>
      <w:r>
        <w:rPr>
          <w:rFonts w:hint="eastAsia" w:ascii="宋体" w:hAnsi="宋体" w:cs="宋体"/>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pStyle w:val="761"/>
        <w:ind w:firstLine="420"/>
        <w:spacing w:before="0" w:beforeAutospacing="0" w:after="0" w:afterAutospacing="0" w:line="480" w:lineRule="auto"/>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761"/>
        <w:spacing w:before="0" w:beforeAutospacing="0" w:after="0" w:afterAutospacing="0" w:line="480" w:lineRule="atLeast"/>
        <w:rPr>
          <w:color w:val="auto"/>
          <w:sz w:val="21"/>
          <w:szCs w:val="21"/>
          <w:highlight w:val="none"/>
        </w:rPr>
      </w:pPr>
      <w:r>
        <w:rPr>
          <w:color w:val="auto"/>
          <w:sz w:val="21"/>
          <w:szCs w:val="21"/>
          <w:highlight w:val="none"/>
        </w:rPr>
      </w:r>
      <w:r/>
    </w:p>
    <w:p>
      <w:pPr>
        <w:pStyle w:val="761"/>
        <w:ind w:firstLine="1680"/>
        <w:jc w:val="both"/>
        <w:spacing w:before="0" w:beforeAutospacing="0" w:after="0" w:afterAutospacing="0" w:line="480" w:lineRule="atLeast"/>
        <w:rPr>
          <w:color w:val="auto"/>
          <w:sz w:val="21"/>
          <w:szCs w:val="21"/>
          <w:highlight w:val="none"/>
        </w:rPr>
      </w:pPr>
      <w:r>
        <w:rPr>
          <w:rFonts w:hint="eastAsia"/>
          <w:color w:val="auto"/>
          <w:sz w:val="21"/>
          <w:szCs w:val="21"/>
          <w:highlight w:val="none"/>
        </w:rPr>
        <w:t xml:space="preserve">磋商响应单位名称（单位盖章）                    </w:t>
      </w:r>
      <w:r/>
    </w:p>
    <w:p>
      <w:pPr>
        <w:pStyle w:val="761"/>
        <w:ind w:firstLine="1680"/>
        <w:jc w:val="both"/>
        <w:spacing w:before="0" w:beforeAutospacing="0" w:after="0" w:afterAutospacing="0" w:line="480" w:lineRule="atLeast"/>
        <w:rPr>
          <w:color w:val="auto"/>
          <w:sz w:val="21"/>
          <w:szCs w:val="21"/>
          <w:highlight w:val="none"/>
        </w:rPr>
      </w:pPr>
      <w:r>
        <w:rPr>
          <w:rFonts w:hint="eastAsia"/>
          <w:color w:val="auto"/>
          <w:sz w:val="21"/>
          <w:szCs w:val="21"/>
          <w:highlight w:val="none"/>
        </w:rPr>
        <w:t xml:space="preserve">日  期：</w:t>
      </w:r>
      <w:r/>
    </w:p>
    <w:p>
      <w:pPr>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br w:type="page" w:clear="all"/>
      </w:r>
      <w:r/>
    </w:p>
    <w:p>
      <w:pPr>
        <w:jc w:val="left"/>
        <w:widowControl/>
        <w:rPr>
          <w:rFonts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8</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投标（响应）保证承诺书</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2"/>
        <w:jc w:val="center"/>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投标（响应）保证承诺书</w:t>
      </w:r>
      <w:r/>
    </w:p>
    <w:p>
      <w:pPr>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（采购代理机构名称）</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w:t>
      </w:r>
      <w:r>
        <w:rPr>
          <w:rFonts w:hint="eastAsia" w:ascii="宋体" w:hAnsi="宋体" w:eastAsia="宋体" w:cs="宋体"/>
          <w:color w:val="auto"/>
          <w:sz w:val="21"/>
          <w:szCs w:val="21"/>
          <w:highlight w:val="none"/>
          <w:u w:val="single"/>
        </w:rPr>
        <w:t xml:space="preserve">       （项目名称和采购编号）</w:t>
      </w:r>
      <w:r>
        <w:rPr>
          <w:rFonts w:hint="eastAsia" w:ascii="宋体" w:hAnsi="宋体" w:eastAsia="宋体" w:cs="宋体"/>
          <w:color w:val="auto"/>
          <w:sz w:val="21"/>
          <w:szCs w:val="21"/>
          <w:highlight w:val="none"/>
        </w:rPr>
        <w:t xml:space="preserve">的投标（响应），并做出如下承诺：</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1.自投标（响应）截止时间至本项目发布中标（成交）公告为止，撤销投标（响应）；</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2.中标（成交）后不依法与采购人签订合同；</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3.中标（成交）后不按本采购文件规定向采购人提交履约保证金（如有）；</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4.中标（成交）后不按本采购文件规定向贵方缴纳采购代理费。</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二、我单位知晓上述行为的法律后果，承认本承诺书作为贵方（或采购人）要求我单位履行违约赔偿义务的依据作用。</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投标（响应）单位</w:t>
      </w:r>
      <w:r>
        <w:rPr>
          <w:rFonts w:ascii="宋体" w:hAnsi="宋体" w:eastAsia="宋体" w:cs="宋体"/>
          <w:color w:val="auto"/>
          <w:sz w:val="21"/>
          <w:szCs w:val="21"/>
          <w:highlight w:val="none"/>
        </w:rPr>
        <w:t xml:space="preserve">：        （盖公章）</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地址：</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电话：                                  传真：</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电子邮件：                              邮编：</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法定代表人或</w:t>
      </w:r>
      <w:r>
        <w:rPr>
          <w:rFonts w:hint="eastAsia" w:ascii="Times New Roman" w:hAnsi="宋体" w:eastAsia="宋体"/>
          <w:color w:val="auto"/>
          <w:sz w:val="21"/>
          <w:szCs w:val="21"/>
          <w:highlight w:val="none"/>
        </w:rPr>
        <w:t xml:space="preserve">被</w:t>
      </w:r>
      <w:r>
        <w:rPr>
          <w:rFonts w:ascii="Times New Roman" w:hAnsi="宋体" w:eastAsia="宋体"/>
          <w:color w:val="auto"/>
          <w:sz w:val="21"/>
          <w:szCs w:val="21"/>
          <w:highlight w:val="none"/>
        </w:rPr>
        <w:t xml:space="preserve">授权人</w:t>
      </w:r>
      <w:r>
        <w:rPr>
          <w:rFonts w:ascii="宋体" w:hAnsi="宋体" w:eastAsia="宋体" w:cs="宋体"/>
          <w:color w:val="auto"/>
          <w:sz w:val="21"/>
          <w:szCs w:val="21"/>
          <w:highlight w:val="none"/>
        </w:rPr>
        <w:t xml:space="preserve">(签字或签章)：</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w:t>
      </w:r>
      <w:r/>
    </w:p>
    <w:p>
      <w:pPr>
        <w:pStyle w:val="763"/>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63"/>
        <w:jc w:val="right"/>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u w:val="single"/>
      </w:rPr>
    </w:pPr>
    <w:r>
      <w:rPr>
        <w:rFonts w:hint="eastAsia"/>
        <w:sz w:val="18"/>
        <w:szCs w:val="18"/>
        <w:u w:val="single"/>
      </w:rPr>
      <w:t xml:space="preserve">磋商文件                                          项目编号</w:t>
    </w:r>
    <w:r>
      <w:rPr>
        <w:rFonts w:hint="eastAsia" w:ascii="宋体" w:hAnsi="宋体" w:cs="宋体"/>
        <w:sz w:val="18"/>
        <w:szCs w:val="18"/>
        <w:u w:val="single"/>
      </w:rPr>
      <w:t xml:space="preserve">：</w:t>
    </w:r>
    <w:r>
      <w:rPr>
        <w:rFonts w:hint="eastAsia" w:ascii="宋体" w:hAnsi="宋体" w:cs="宋体"/>
        <w:sz w:val="18"/>
        <w:szCs w:val="18"/>
        <w:u w:val="single"/>
        <w:lang w:eastAsia="zh-CN"/>
      </w:rPr>
      <w:t xml:space="preserve">JSZC-320500-SZHT-C2026-0001</w:t>
    </w:r>
    <w:r>
      <w:rPr>
        <w:rFonts w:hint="eastAsia" w:ascii="宋体" w:hAnsi="宋体" w:cs="宋体"/>
        <w:sz w:val="18"/>
        <w:szCs w:val="18"/>
        <w:u w:val="single"/>
      </w:rPr>
      <w:t xml:space="preserve">号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2 Char"/>
    <w:basedOn w:val="731"/>
    <w:link w:val="723"/>
    <w:uiPriority w:val="9"/>
    <w:rPr>
      <w:rFonts w:ascii="Arial" w:hAnsi="Arial" w:eastAsia="Arial" w:cs="Arial"/>
      <w:sz w:val="34"/>
    </w:rPr>
  </w:style>
  <w:style w:type="character" w:styleId="690">
    <w:name w:val="Heading 4 Char"/>
    <w:basedOn w:val="731"/>
    <w:link w:val="725"/>
    <w:uiPriority w:val="9"/>
    <w:rPr>
      <w:rFonts w:ascii="Arial" w:hAnsi="Arial" w:eastAsia="Arial" w:cs="Arial"/>
      <w:b/>
      <w:bCs/>
      <w:sz w:val="26"/>
      <w:szCs w:val="26"/>
    </w:rPr>
  </w:style>
  <w:style w:type="character" w:styleId="691">
    <w:name w:val="Heading 5 Char"/>
    <w:basedOn w:val="731"/>
    <w:link w:val="726"/>
    <w:uiPriority w:val="9"/>
    <w:rPr>
      <w:rFonts w:ascii="Arial" w:hAnsi="Arial" w:eastAsia="Arial" w:cs="Arial"/>
      <w:b/>
      <w:bCs/>
      <w:sz w:val="24"/>
      <w:szCs w:val="24"/>
    </w:rPr>
  </w:style>
  <w:style w:type="character" w:styleId="692">
    <w:name w:val="Heading 6 Char"/>
    <w:basedOn w:val="731"/>
    <w:link w:val="727"/>
    <w:uiPriority w:val="9"/>
    <w:rPr>
      <w:rFonts w:ascii="Arial" w:hAnsi="Arial" w:eastAsia="Arial" w:cs="Arial"/>
      <w:b/>
      <w:bCs/>
      <w:sz w:val="22"/>
      <w:szCs w:val="22"/>
    </w:rPr>
  </w:style>
  <w:style w:type="character" w:styleId="693">
    <w:name w:val="Heading 7 Char"/>
    <w:basedOn w:val="731"/>
    <w:link w:val="728"/>
    <w:uiPriority w:val="9"/>
    <w:rPr>
      <w:rFonts w:ascii="Arial" w:hAnsi="Arial" w:eastAsia="Arial" w:cs="Arial"/>
      <w:b/>
      <w:bCs/>
      <w:i/>
      <w:iCs/>
      <w:sz w:val="22"/>
      <w:szCs w:val="22"/>
    </w:rPr>
  </w:style>
  <w:style w:type="character" w:styleId="694">
    <w:name w:val="Heading 8 Char"/>
    <w:basedOn w:val="731"/>
    <w:link w:val="729"/>
    <w:uiPriority w:val="9"/>
    <w:rPr>
      <w:rFonts w:ascii="Arial" w:hAnsi="Arial" w:eastAsia="Arial" w:cs="Arial"/>
      <w:i/>
      <w:iCs/>
      <w:sz w:val="22"/>
      <w:szCs w:val="22"/>
    </w:rPr>
  </w:style>
  <w:style w:type="character" w:styleId="695">
    <w:name w:val="Heading 9 Char"/>
    <w:basedOn w:val="731"/>
    <w:link w:val="730"/>
    <w:uiPriority w:val="9"/>
    <w:rPr>
      <w:rFonts w:ascii="Arial" w:hAnsi="Arial" w:eastAsia="Arial" w:cs="Arial"/>
      <w:i/>
      <w:iCs/>
      <w:sz w:val="21"/>
      <w:szCs w:val="21"/>
    </w:rPr>
  </w:style>
  <w:style w:type="character" w:styleId="696">
    <w:name w:val="Title Char"/>
    <w:basedOn w:val="731"/>
    <w:link w:val="762"/>
    <w:uiPriority w:val="10"/>
    <w:rPr>
      <w:sz w:val="48"/>
      <w:szCs w:val="48"/>
    </w:rPr>
  </w:style>
  <w:style w:type="character" w:styleId="697">
    <w:name w:val="Subtitle Char"/>
    <w:basedOn w:val="731"/>
    <w:link w:val="753"/>
    <w:uiPriority w:val="11"/>
    <w:rPr>
      <w:sz w:val="24"/>
      <w:szCs w:val="24"/>
    </w:rPr>
  </w:style>
  <w:style w:type="character" w:styleId="698">
    <w:name w:val="Quote Char"/>
    <w:link w:val="788"/>
    <w:uiPriority w:val="29"/>
    <w:rPr>
      <w:i/>
    </w:rPr>
  </w:style>
  <w:style w:type="character" w:styleId="699">
    <w:name w:val="Intense Quote Char"/>
    <w:link w:val="790"/>
    <w:uiPriority w:val="30"/>
    <w:rPr>
      <w:i/>
    </w:rPr>
  </w:style>
  <w:style w:type="table" w:styleId="700">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Endnote Text Char"/>
    <w:link w:val="747"/>
    <w:uiPriority w:val="99"/>
    <w:rPr>
      <w:sz w:val="20"/>
    </w:rPr>
  </w:style>
  <w:style w:type="paragraph" w:styleId="720">
    <w:name w:val="TOC Heading"/>
    <w:uiPriority w:val="39"/>
    <w:unhideWhenUsed/>
  </w:style>
  <w:style w:type="paragraph" w:styleId="721" w:default="1">
    <w:name w:val="Normal"/>
    <w:next w:val="733"/>
    <w:uiPriority w:val="0"/>
    <w:qFormat/>
    <w:pPr>
      <w:jc w:val="both"/>
      <w:widowControl w:val="off"/>
    </w:pPr>
    <w:rPr>
      <w:rFonts w:ascii="Calibri" w:hAnsi="Calibri" w:eastAsia="宋体" w:cs="Times New Roman"/>
      <w:sz w:val="21"/>
      <w:szCs w:val="24"/>
      <w:lang w:val="en-US" w:eastAsia="zh-CN" w:bidi="ar-SA"/>
    </w:rPr>
  </w:style>
  <w:style w:type="paragraph" w:styleId="722">
    <w:name w:val="Heading 1"/>
    <w:basedOn w:val="721"/>
    <w:next w:val="721"/>
    <w:uiPriority w:val="0"/>
    <w:qFormat/>
    <w:pPr>
      <w:ind w:left="432" w:firstLine="18"/>
      <w:spacing w:before="340" w:after="330" w:line="578" w:lineRule="auto"/>
      <w:outlineLvl w:val="0"/>
    </w:pPr>
  </w:style>
  <w:style w:type="paragraph" w:styleId="723">
    <w:name w:val="Heading 2"/>
    <w:basedOn w:val="721"/>
    <w:next w:val="721"/>
    <w:link w:val="776"/>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uiPriority w:val="0"/>
    <w:qFormat/>
    <w:pPr>
      <w:jc w:val="left"/>
      <w:keepLines/>
      <w:keepNext/>
      <w:outlineLvl w:val="2"/>
    </w:pPr>
    <w:rPr>
      <w:b/>
    </w:rPr>
  </w:style>
  <w:style w:type="paragraph" w:styleId="725">
    <w:name w:val="Heading 4"/>
    <w:basedOn w:val="721"/>
    <w:next w:val="721"/>
    <w:link w:val="778"/>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9"/>
    <w:uiPriority w:val="9"/>
    <w:unhideWhenUsed/>
    <w:qFormat/>
    <w:pPr>
      <w:keepLines/>
      <w:keepNext/>
      <w:spacing w:before="320" w:after="200"/>
      <w:outlineLvl w:val="4"/>
    </w:pPr>
    <w:rPr>
      <w:rFonts w:ascii="Arial" w:hAnsi="Arial" w:eastAsia="Arial" w:cs="Arial"/>
      <w:b/>
      <w:bCs/>
      <w:sz w:val="24"/>
    </w:rPr>
  </w:style>
  <w:style w:type="paragraph" w:styleId="727">
    <w:name w:val="Heading 6"/>
    <w:basedOn w:val="721"/>
    <w:next w:val="721"/>
    <w:link w:val="780"/>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82"/>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83"/>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Body Text"/>
    <w:basedOn w:val="721"/>
    <w:uiPriority w:val="0"/>
    <w:qFormat/>
    <w:pPr>
      <w:jc w:val="left"/>
      <w:spacing w:line="360" w:lineRule="auto"/>
      <w:widowControl/>
    </w:pPr>
    <w:rPr>
      <w:sz w:val="24"/>
      <w:szCs w:val="20"/>
    </w:rPr>
  </w:style>
  <w:style w:type="paragraph" w:styleId="734">
    <w:name w:val="toc 7"/>
    <w:basedOn w:val="721"/>
    <w:next w:val="721"/>
    <w:uiPriority w:val="39"/>
    <w:unhideWhenUsed/>
    <w:qFormat/>
    <w:pPr>
      <w:ind w:left="1701"/>
      <w:spacing w:after="57"/>
    </w:pPr>
  </w:style>
  <w:style w:type="paragraph" w:styleId="735">
    <w:name w:val="Normal Indent"/>
    <w:basedOn w:val="721"/>
    <w:next w:val="721"/>
    <w:uiPriority w:val="0"/>
    <w:qFormat/>
    <w:pPr>
      <w:ind w:firstLine="420"/>
      <w:jc w:val="left"/>
    </w:pPr>
    <w:rPr>
      <w:sz w:val="24"/>
    </w:rPr>
  </w:style>
  <w:style w:type="paragraph" w:styleId="736">
    <w:name w:val="Caption"/>
    <w:basedOn w:val="721"/>
    <w:next w:val="72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7">
    <w:name w:val="Document Map"/>
    <w:basedOn w:val="721"/>
    <w:uiPriority w:val="99"/>
    <w:unhideWhenUsed/>
    <w:qFormat/>
    <w:rPr>
      <w:rFonts w:ascii="宋体"/>
      <w:sz w:val="18"/>
      <w:szCs w:val="18"/>
    </w:rPr>
  </w:style>
  <w:style w:type="paragraph" w:styleId="738">
    <w:name w:val="annotation text"/>
    <w:basedOn w:val="721"/>
    <w:uiPriority w:val="0"/>
    <w:qFormat/>
    <w:pPr>
      <w:jc w:val="left"/>
    </w:pPr>
  </w:style>
  <w:style w:type="paragraph" w:styleId="739">
    <w:name w:val="Body Text Indent"/>
    <w:basedOn w:val="721"/>
    <w:next w:val="740"/>
    <w:uiPriority w:val="0"/>
    <w:qFormat/>
    <w:pPr>
      <w:ind w:left="570"/>
      <w:spacing w:line="520" w:lineRule="exact"/>
    </w:pPr>
    <w:rPr>
      <w:rFonts w:ascii="方正仿宋简体" w:hAnsi="创艺简仿宋" w:eastAsia="方正仿宋简体"/>
      <w:sz w:val="24"/>
    </w:rPr>
  </w:style>
  <w:style w:type="paragraph" w:styleId="740">
    <w:name w:val="envelope return"/>
    <w:basedOn w:val="721"/>
    <w:uiPriority w:val="0"/>
    <w:qFormat/>
    <w:rPr>
      <w:rFonts w:ascii="Arial" w:hAnsi="Arial"/>
    </w:rPr>
  </w:style>
  <w:style w:type="paragraph" w:styleId="741">
    <w:name w:val="Block Text"/>
    <w:basedOn w:val="721"/>
    <w:uiPriority w:val="0"/>
    <w:qFormat/>
    <w:pPr>
      <w:ind w:left="630" w:right="-609" w:firstLine="420"/>
      <w:spacing w:line="360" w:lineRule="auto"/>
    </w:pPr>
    <w:rPr>
      <w:rFonts w:hint="eastAsia" w:ascii="仿宋_GB2312" w:eastAsia="仿宋_GB2312"/>
    </w:rPr>
  </w:style>
  <w:style w:type="paragraph" w:styleId="742">
    <w:name w:val="toc 5"/>
    <w:basedOn w:val="721"/>
    <w:next w:val="721"/>
    <w:uiPriority w:val="39"/>
    <w:unhideWhenUsed/>
    <w:qFormat/>
    <w:pPr>
      <w:ind w:left="1134"/>
      <w:spacing w:after="57"/>
    </w:pPr>
  </w:style>
  <w:style w:type="paragraph" w:styleId="743">
    <w:name w:val="toc 3"/>
    <w:basedOn w:val="721"/>
    <w:next w:val="721"/>
    <w:uiPriority w:val="39"/>
    <w:unhideWhenUsed/>
    <w:qFormat/>
    <w:pPr>
      <w:ind w:left="567"/>
      <w:spacing w:after="57"/>
    </w:pPr>
  </w:style>
  <w:style w:type="paragraph" w:styleId="744">
    <w:name w:val="Plain Text"/>
    <w:basedOn w:val="721"/>
    <w:uiPriority w:val="0"/>
    <w:qFormat/>
    <w:rPr>
      <w:rFonts w:ascii="宋体" w:hAnsi="Courier New"/>
      <w:szCs w:val="20"/>
    </w:rPr>
  </w:style>
  <w:style w:type="paragraph" w:styleId="745">
    <w:name w:val="toc 8"/>
    <w:basedOn w:val="721"/>
    <w:next w:val="721"/>
    <w:uiPriority w:val="39"/>
    <w:unhideWhenUsed/>
    <w:qFormat/>
    <w:pPr>
      <w:ind w:left="1984"/>
      <w:spacing w:after="57"/>
    </w:pPr>
  </w:style>
  <w:style w:type="paragraph" w:styleId="746">
    <w:name w:val="Date"/>
    <w:basedOn w:val="721"/>
    <w:next w:val="721"/>
    <w:uiPriority w:val="0"/>
    <w:qFormat/>
    <w:rPr>
      <w:rFonts w:ascii="宋体" w:hAnsi="宋体"/>
      <w:sz w:val="24"/>
    </w:rPr>
  </w:style>
  <w:style w:type="paragraph" w:styleId="747">
    <w:name w:val="endnote text"/>
    <w:basedOn w:val="721"/>
    <w:link w:val="921"/>
    <w:uiPriority w:val="99"/>
    <w:semiHidden/>
    <w:unhideWhenUsed/>
    <w:qFormat/>
    <w:rPr>
      <w:sz w:val="20"/>
    </w:rPr>
  </w:style>
  <w:style w:type="paragraph" w:styleId="748">
    <w:name w:val="Balloon Text"/>
    <w:basedOn w:val="721"/>
    <w:uiPriority w:val="0"/>
    <w:semiHidden/>
    <w:qFormat/>
    <w:rPr>
      <w:sz w:val="18"/>
      <w:szCs w:val="18"/>
    </w:rPr>
  </w:style>
  <w:style w:type="paragraph" w:styleId="749">
    <w:name w:val="Footer"/>
    <w:basedOn w:val="721"/>
    <w:uiPriority w:val="0"/>
    <w:qFormat/>
    <w:pPr>
      <w:jc w:val="left"/>
      <w:tabs>
        <w:tab w:val="center" w:pos="4153" w:leader="none"/>
        <w:tab w:val="right" w:pos="8306" w:leader="none"/>
      </w:tabs>
    </w:pPr>
    <w:rPr>
      <w:sz w:val="18"/>
    </w:rPr>
  </w:style>
  <w:style w:type="paragraph" w:styleId="750">
    <w:name w:val="Header"/>
    <w:basedOn w:val="72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1">
    <w:name w:val="toc 1"/>
    <w:basedOn w:val="721"/>
    <w:next w:val="721"/>
    <w:uiPriority w:val="0"/>
    <w:qFormat/>
    <w:pPr>
      <w:jc w:val="left"/>
    </w:pPr>
    <w:rPr>
      <w:rFonts w:eastAsia="楷体_GB2312"/>
      <w:sz w:val="24"/>
      <w:szCs w:val="20"/>
    </w:rPr>
  </w:style>
  <w:style w:type="paragraph" w:styleId="752">
    <w:name w:val="toc 4"/>
    <w:basedOn w:val="721"/>
    <w:next w:val="721"/>
    <w:uiPriority w:val="39"/>
    <w:unhideWhenUsed/>
    <w:qFormat/>
    <w:pPr>
      <w:ind w:left="850"/>
      <w:spacing w:after="57"/>
    </w:pPr>
  </w:style>
  <w:style w:type="paragraph" w:styleId="753">
    <w:name w:val="Subtitle"/>
    <w:basedOn w:val="721"/>
    <w:next w:val="721"/>
    <w:link w:val="787"/>
    <w:uiPriority w:val="11"/>
    <w:qFormat/>
    <w:pPr>
      <w:spacing w:before="200" w:after="200"/>
    </w:pPr>
    <w:rPr>
      <w:sz w:val="24"/>
    </w:rPr>
  </w:style>
  <w:style w:type="paragraph" w:styleId="754">
    <w:name w:val="footnote text"/>
    <w:basedOn w:val="722"/>
    <w:next w:val="741"/>
    <w:uiPriority w:val="0"/>
    <w:qFormat/>
    <w:pPr>
      <w:ind w:left="0" w:firstLine="3584"/>
      <w:spacing w:before="0" w:after="0" w:line="360" w:lineRule="auto"/>
    </w:pPr>
    <w:rPr>
      <w:rFonts w:ascii="Times New Roman" w:hAnsi="Times New Roman"/>
    </w:rPr>
  </w:style>
  <w:style w:type="paragraph" w:styleId="755">
    <w:name w:val="toc 6"/>
    <w:basedOn w:val="721"/>
    <w:next w:val="721"/>
    <w:uiPriority w:val="39"/>
    <w:unhideWhenUsed/>
    <w:qFormat/>
    <w:pPr>
      <w:ind w:left="1417"/>
      <w:spacing w:after="57"/>
    </w:pPr>
  </w:style>
  <w:style w:type="paragraph" w:styleId="756">
    <w:name w:val="Body Text Indent 3"/>
    <w:basedOn w:val="721"/>
    <w:uiPriority w:val="0"/>
    <w:qFormat/>
    <w:pPr>
      <w:ind w:firstLine="617"/>
      <w:spacing w:line="360" w:lineRule="auto"/>
    </w:pPr>
    <w:rPr>
      <w:sz w:val="24"/>
    </w:rPr>
  </w:style>
  <w:style w:type="paragraph" w:styleId="757">
    <w:name w:val="table of figures"/>
    <w:basedOn w:val="721"/>
    <w:next w:val="721"/>
    <w:uiPriority w:val="99"/>
    <w:unhideWhenUsed/>
    <w:qFormat/>
  </w:style>
  <w:style w:type="paragraph" w:styleId="758">
    <w:name w:val="toc 2"/>
    <w:basedOn w:val="721"/>
    <w:next w:val="721"/>
    <w:uiPriority w:val="39"/>
    <w:unhideWhenUsed/>
    <w:qFormat/>
    <w:pPr>
      <w:ind w:left="283"/>
      <w:spacing w:after="57"/>
    </w:pPr>
  </w:style>
  <w:style w:type="paragraph" w:styleId="759">
    <w:name w:val="toc 9"/>
    <w:basedOn w:val="721"/>
    <w:next w:val="721"/>
    <w:uiPriority w:val="39"/>
    <w:unhideWhenUsed/>
    <w:qFormat/>
    <w:pPr>
      <w:ind w:left="2268"/>
      <w:spacing w:after="57"/>
    </w:pPr>
  </w:style>
  <w:style w:type="paragraph" w:styleId="760">
    <w:name w:val="Body Text 2"/>
    <w:basedOn w:val="721"/>
    <w:uiPriority w:val="99"/>
    <w:unhideWhenUsed/>
    <w:qFormat/>
    <w:pPr>
      <w:spacing w:after="120" w:line="480" w:lineRule="auto"/>
    </w:pPr>
  </w:style>
  <w:style w:type="paragraph" w:styleId="761">
    <w:name w:val="Normal (Web)"/>
    <w:basedOn w:val="721"/>
    <w:uiPriority w:val="0"/>
    <w:qFormat/>
    <w:pPr>
      <w:jc w:val="left"/>
      <w:spacing w:before="100" w:beforeAutospacing="1" w:after="100" w:afterAutospacing="1"/>
      <w:widowControl/>
    </w:pPr>
    <w:rPr>
      <w:rFonts w:ascii="宋体" w:hAnsi="宋体" w:cs="宋体"/>
      <w:sz w:val="24"/>
    </w:rPr>
  </w:style>
  <w:style w:type="paragraph" w:styleId="762">
    <w:name w:val="Title"/>
    <w:basedOn w:val="721"/>
    <w:next w:val="721"/>
    <w:link w:val="786"/>
    <w:uiPriority w:val="10"/>
    <w:qFormat/>
    <w:pPr>
      <w:contextualSpacing/>
      <w:spacing w:before="300" w:after="200"/>
    </w:pPr>
    <w:rPr>
      <w:sz w:val="48"/>
      <w:szCs w:val="48"/>
    </w:rPr>
  </w:style>
  <w:style w:type="paragraph" w:styleId="763">
    <w:name w:val="Body Text First Indent"/>
    <w:basedOn w:val="733"/>
    <w:uiPriority w:val="99"/>
    <w:qFormat/>
    <w:pPr>
      <w:ind w:firstLine="420"/>
      <w:spacing w:after="120" w:line="240" w:lineRule="auto"/>
    </w:pPr>
    <w:rPr>
      <w:sz w:val="28"/>
    </w:rPr>
  </w:style>
  <w:style w:type="paragraph" w:styleId="764">
    <w:name w:val="Body Text First Indent 2"/>
    <w:basedOn w:val="739"/>
    <w:uiPriority w:val="0"/>
    <w:qFormat/>
    <w:pPr>
      <w:ind w:firstLine="420"/>
    </w:pPr>
  </w:style>
  <w:style w:type="table" w:styleId="765">
    <w:name w:val="Table Grid"/>
    <w:basedOn w:val="7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endnote reference"/>
    <w:basedOn w:val="731"/>
    <w:uiPriority w:val="99"/>
    <w:semiHidden/>
    <w:unhideWhenUsed/>
    <w:qFormat/>
    <w:rPr>
      <w:vertAlign w:val="superscript"/>
    </w:rPr>
  </w:style>
  <w:style w:type="character" w:styleId="767">
    <w:name w:val="Hyperlink"/>
    <w:uiPriority w:val="99"/>
    <w:unhideWhenUsed/>
    <w:qFormat/>
    <w:rPr>
      <w:color w:val="0563c1" w:themeColor="hyperlink"/>
      <w:u w:val="single"/>
      <w14:textFill>
        <w14:solidFill>
          <w14:schemeClr w14:val="hlink"/>
        </w14:solidFill>
      </w14:textFill>
    </w:rPr>
  </w:style>
  <w:style w:type="character" w:styleId="768">
    <w:name w:val="footnote reference"/>
    <w:basedOn w:val="731"/>
    <w:uiPriority w:val="99"/>
    <w:unhideWhenUsed/>
    <w:qFormat/>
    <w:rPr>
      <w:vertAlign w:val="superscript"/>
    </w:rPr>
  </w:style>
  <w:style w:type="paragraph" w:styleId="769" w:customStyle="1">
    <w:name w:val="段"/>
    <w:next w:val="721"/>
    <w:uiPriority w:val="0"/>
    <w:qFormat/>
    <w:pPr>
      <w:ind w:firstLine="200"/>
      <w:jc w:val="both"/>
    </w:pPr>
    <w:rPr>
      <w:rFonts w:ascii="宋体" w:hAnsi="Times New Roman" w:eastAsia="Times New Roman" w:cs="Times New Roman"/>
      <w:sz w:val="21"/>
      <w:szCs w:val="22"/>
      <w:lang w:val="en-US" w:eastAsia="zh-CN" w:bidi="ar-SA"/>
    </w:rPr>
  </w:style>
  <w:style w:type="paragraph" w:styleId="770" w:customStyle="1">
    <w:name w:val="标题 31"/>
    <w:basedOn w:val="721"/>
    <w:next w:val="721"/>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771" w:customStyle="1">
    <w:name w:val="首行缩进"/>
    <w:basedOn w:val="721"/>
    <w:uiPriority w:val="0"/>
    <w:qFormat/>
    <w:pPr>
      <w:ind w:firstLine="480"/>
    </w:pPr>
    <w:rPr>
      <w:szCs w:val="20"/>
      <w:lang w:val="zh-CN"/>
    </w:rPr>
  </w:style>
  <w:style w:type="paragraph" w:styleId="772" w:customStyle="1">
    <w:name w:val="正文首行缩进 21"/>
    <w:basedOn w:val="773"/>
    <w:uiPriority w:val="0"/>
    <w:qFormat/>
    <w:pPr>
      <w:ind w:left="420" w:firstLine="420"/>
      <w:spacing w:after="120" w:line="240" w:lineRule="auto"/>
    </w:pPr>
    <w:rPr>
      <w:rFonts w:ascii="Times New Roman" w:hAnsi="Times New Roman"/>
      <w:sz w:val="21"/>
    </w:rPr>
  </w:style>
  <w:style w:type="paragraph" w:styleId="773" w:customStyle="1">
    <w:name w:val="正文文本缩进11"/>
    <w:basedOn w:val="721"/>
    <w:next w:val="774"/>
    <w:uiPriority w:val="0"/>
    <w:qFormat/>
    <w:pPr>
      <w:ind w:firstLine="435"/>
      <w:spacing w:line="480" w:lineRule="exact"/>
    </w:pPr>
    <w:rPr>
      <w:sz w:val="24"/>
    </w:rPr>
  </w:style>
  <w:style w:type="paragraph" w:styleId="774" w:customStyle="1">
    <w:name w:val="寄信人地址1"/>
    <w:basedOn w:val="721"/>
    <w:uiPriority w:val="0"/>
    <w:qFormat/>
    <w:rPr>
      <w:rFonts w:ascii="Arial" w:hAnsi="Arial" w:eastAsia="楷体_GB2312"/>
      <w:sz w:val="26"/>
      <w:szCs w:val="20"/>
    </w:rPr>
  </w:style>
  <w:style w:type="character" w:styleId="775" w:customStyle="1">
    <w:name w:val="Heading 1 Char"/>
    <w:basedOn w:val="731"/>
    <w:uiPriority w:val="9"/>
    <w:qFormat/>
    <w:rPr>
      <w:rFonts w:ascii="Arial" w:hAnsi="Arial" w:eastAsia="Arial" w:cs="Arial"/>
      <w:sz w:val="40"/>
      <w:szCs w:val="40"/>
    </w:rPr>
  </w:style>
  <w:style w:type="character" w:styleId="776" w:customStyle="1">
    <w:name w:val="标题 2 字符"/>
    <w:basedOn w:val="731"/>
    <w:link w:val="723"/>
    <w:uiPriority w:val="9"/>
    <w:qFormat/>
    <w:rPr>
      <w:rFonts w:ascii="Arial" w:hAnsi="Arial" w:eastAsia="Arial" w:cs="Arial"/>
      <w:sz w:val="34"/>
    </w:rPr>
  </w:style>
  <w:style w:type="character" w:styleId="777" w:customStyle="1">
    <w:name w:val="Heading 3 Char"/>
    <w:basedOn w:val="731"/>
    <w:uiPriority w:val="9"/>
    <w:qFormat/>
    <w:rPr>
      <w:rFonts w:ascii="Arial" w:hAnsi="Arial" w:eastAsia="Arial" w:cs="Arial"/>
      <w:sz w:val="30"/>
      <w:szCs w:val="30"/>
    </w:rPr>
  </w:style>
  <w:style w:type="character" w:styleId="778" w:customStyle="1">
    <w:name w:val="标题 4 字符"/>
    <w:basedOn w:val="731"/>
    <w:link w:val="725"/>
    <w:uiPriority w:val="9"/>
    <w:qFormat/>
    <w:rPr>
      <w:rFonts w:ascii="Arial" w:hAnsi="Arial" w:eastAsia="Arial" w:cs="Arial"/>
      <w:b/>
      <w:bCs/>
      <w:sz w:val="26"/>
      <w:szCs w:val="26"/>
    </w:rPr>
  </w:style>
  <w:style w:type="character" w:styleId="779" w:customStyle="1">
    <w:name w:val="标题 5 字符"/>
    <w:basedOn w:val="731"/>
    <w:link w:val="726"/>
    <w:uiPriority w:val="9"/>
    <w:qFormat/>
    <w:rPr>
      <w:rFonts w:ascii="Arial" w:hAnsi="Arial" w:eastAsia="Arial" w:cs="Arial"/>
      <w:b/>
      <w:bCs/>
      <w:sz w:val="24"/>
      <w:szCs w:val="24"/>
    </w:rPr>
  </w:style>
  <w:style w:type="character" w:styleId="780" w:customStyle="1">
    <w:name w:val="标题 6 字符"/>
    <w:basedOn w:val="731"/>
    <w:link w:val="727"/>
    <w:uiPriority w:val="9"/>
    <w:qFormat/>
    <w:rPr>
      <w:rFonts w:ascii="Arial" w:hAnsi="Arial" w:eastAsia="Arial" w:cs="Arial"/>
      <w:b/>
      <w:bCs/>
      <w:sz w:val="22"/>
      <w:szCs w:val="22"/>
    </w:rPr>
  </w:style>
  <w:style w:type="character" w:styleId="781" w:customStyle="1">
    <w:name w:val="标题 7 字符"/>
    <w:basedOn w:val="731"/>
    <w:link w:val="728"/>
    <w:uiPriority w:val="9"/>
    <w:qFormat/>
    <w:rPr>
      <w:rFonts w:ascii="Arial" w:hAnsi="Arial" w:eastAsia="Arial" w:cs="Arial"/>
      <w:b/>
      <w:bCs/>
      <w:i/>
      <w:iCs/>
      <w:sz w:val="22"/>
      <w:szCs w:val="22"/>
    </w:rPr>
  </w:style>
  <w:style w:type="character" w:styleId="782" w:customStyle="1">
    <w:name w:val="标题 8 字符"/>
    <w:basedOn w:val="731"/>
    <w:link w:val="729"/>
    <w:uiPriority w:val="9"/>
    <w:qFormat/>
    <w:rPr>
      <w:rFonts w:ascii="Arial" w:hAnsi="Arial" w:eastAsia="Arial" w:cs="Arial"/>
      <w:i/>
      <w:iCs/>
      <w:sz w:val="22"/>
      <w:szCs w:val="22"/>
    </w:rPr>
  </w:style>
  <w:style w:type="character" w:styleId="783" w:customStyle="1">
    <w:name w:val="标题 9 字符"/>
    <w:basedOn w:val="731"/>
    <w:link w:val="730"/>
    <w:uiPriority w:val="9"/>
    <w:qFormat/>
    <w:rPr>
      <w:rFonts w:ascii="Arial" w:hAnsi="Arial" w:eastAsia="Arial" w:cs="Arial"/>
      <w:i/>
      <w:iCs/>
      <w:sz w:val="21"/>
      <w:szCs w:val="21"/>
    </w:rPr>
  </w:style>
  <w:style w:type="paragraph" w:styleId="784">
    <w:name w:val="List Paragraph"/>
    <w:basedOn w:val="721"/>
    <w:uiPriority w:val="34"/>
    <w:qFormat/>
    <w:pPr>
      <w:contextualSpacing/>
      <w:ind w:left="720"/>
    </w:pPr>
  </w:style>
  <w:style w:type="paragraph" w:styleId="785">
    <w:name w:val="No Spacing"/>
    <w:uiPriority w:val="1"/>
    <w:qFormat/>
    <w:rPr>
      <w:rFonts w:ascii="Times New Roman" w:hAnsi="Times New Roman" w:eastAsia="宋体" w:cs="Times New Roman"/>
      <w:lang w:val="en-US" w:eastAsia="zh-CN" w:bidi="ar-SA"/>
    </w:rPr>
  </w:style>
  <w:style w:type="character" w:styleId="786" w:customStyle="1">
    <w:name w:val="标题 字符"/>
    <w:basedOn w:val="731"/>
    <w:link w:val="762"/>
    <w:uiPriority w:val="10"/>
    <w:qFormat/>
    <w:rPr>
      <w:sz w:val="48"/>
      <w:szCs w:val="48"/>
    </w:rPr>
  </w:style>
  <w:style w:type="character" w:styleId="787" w:customStyle="1">
    <w:name w:val="副标题 字符"/>
    <w:basedOn w:val="731"/>
    <w:link w:val="753"/>
    <w:uiPriority w:val="11"/>
    <w:qFormat/>
    <w:rPr>
      <w:sz w:val="24"/>
      <w:szCs w:val="24"/>
    </w:rPr>
  </w:style>
  <w:style w:type="paragraph" w:styleId="788">
    <w:name w:val="Quote"/>
    <w:basedOn w:val="721"/>
    <w:next w:val="72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21"/>
    <w:next w:val="72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basedOn w:val="731"/>
    <w:uiPriority w:val="99"/>
    <w:qFormat/>
  </w:style>
  <w:style w:type="character" w:styleId="793" w:customStyle="1">
    <w:name w:val="Footer Char"/>
    <w:basedOn w:val="731"/>
    <w:uiPriority w:val="99"/>
    <w:qFormat/>
  </w:style>
  <w:style w:type="character" w:styleId="794" w:customStyle="1">
    <w:name w:val="Caption Char"/>
    <w:uiPriority w:val="99"/>
    <w:qFormat/>
  </w:style>
  <w:style w:type="table" w:styleId="795"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4"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5"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6"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7"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1"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2"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3"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4"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5"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6"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0"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1"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4"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5"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6"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7"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8"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5"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6"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7"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8"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9"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0" w:customStyle="1">
    <w:name w:val="Footnote Text Char"/>
    <w:uiPriority w:val="99"/>
    <w:qFormat/>
    <w:rPr>
      <w:sz w:val="18"/>
    </w:rPr>
  </w:style>
  <w:style w:type="character" w:styleId="921" w:customStyle="1">
    <w:name w:val="尾注文本 字符"/>
    <w:link w:val="747"/>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paragraph" w:styleId="923" w:customStyle="1">
    <w:name w:val="正文1"/>
    <w:next w:val="721"/>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924" w:customStyle="1">
    <w:name w:val="Plain Text1"/>
    <w:basedOn w:val="721"/>
    <w:uiPriority w:val="0"/>
    <w:qFormat/>
    <w:rPr>
      <w:rFonts w:ascii="宋体" w:hAnsi="Courier New"/>
    </w:rPr>
  </w:style>
  <w:style w:type="paragraph" w:styleId="925" w:customStyle="1">
    <w:name w:val="纯文本3"/>
    <w:basedOn w:val="721"/>
    <w:uiPriority w:val="0"/>
    <w:qFormat/>
    <w:rPr>
      <w:rFonts w:ascii="宋体" w:hAnsi="Courier New"/>
    </w:rPr>
  </w:style>
  <w:style w:type="paragraph" w:styleId="926" w:customStyle="1">
    <w:name w:val="纯文本1"/>
    <w:basedOn w:val="721"/>
    <w:uiPriority w:val="0"/>
    <w:qFormat/>
    <w:rPr>
      <w:rFonts w:ascii="宋体" w:hAnsi="Courier New"/>
    </w:rPr>
  </w:style>
  <w:style w:type="paragraph" w:styleId="927" w:customStyle="1">
    <w:name w:val="标题3"/>
    <w:basedOn w:val="724"/>
    <w:uiPriority w:val="0"/>
    <w:qFormat/>
    <w:pPr>
      <w:contextualSpacing/>
      <w:jc w:val="center"/>
      <w:spacing w:before="100" w:after="100"/>
    </w:pPr>
    <w:rPr>
      <w:rFonts w:eastAsia="黑体" w:cs="宋体"/>
      <w:bCs/>
      <w:sz w:val="28"/>
    </w:rPr>
  </w:style>
  <w:style w:type="paragraph" w:styleId="928" w:customStyle="1">
    <w:name w:val="纯文本31"/>
    <w:basedOn w:val="721"/>
    <w:uiPriority w:val="0"/>
    <w:qFormat/>
    <w:rPr>
      <w:rFonts w:ascii="宋体" w:hAnsi="Courier New"/>
    </w:rPr>
  </w:style>
  <w:style w:type="paragraph" w:styleId="929" w:customStyle="1">
    <w:name w:val="纯文本2"/>
    <w:basedOn w:val="721"/>
    <w:uiPriority w:val="0"/>
    <w:qFormat/>
    <w:rPr>
      <w:rFonts w:ascii="宋体" w:hAnsi="Courier New"/>
    </w:rPr>
  </w:style>
  <w:style w:type="paragraph" w:styleId="930" w:customStyle="1">
    <w:name w:val="纯文本11"/>
    <w:basedOn w:val="721"/>
    <w:uiPriority w:val="0"/>
    <w:qFormat/>
    <w:rPr>
      <w:rFonts w:ascii="宋体" w:hAnsi="Courier New"/>
    </w:rPr>
  </w:style>
  <w:style w:type="character" w:styleId="931" w:customStyle="1">
    <w:name w:val="font31"/>
    <w:basedOn w:val="731"/>
    <w:uiPriority w:val="0"/>
    <w:qFormat/>
    <w:rPr>
      <w:rFonts w:hint="default" w:ascii="楷体_GB2312" w:eastAsia="楷体_GB2312" w:cs="楷体_GB2312"/>
      <w:color w:val="000000"/>
      <w:sz w:val="21"/>
      <w:szCs w:val="21"/>
      <w:u w:val="none"/>
    </w:rPr>
  </w:style>
  <w:style w:type="character" w:styleId="932" w:customStyle="1">
    <w:name w:val="font21"/>
    <w:basedOn w:val="731"/>
    <w:uiPriority w:val="0"/>
    <w:qFormat/>
    <w:rPr>
      <w:rFonts w:hint="eastAsia" w:ascii="宋体" w:hAnsi="宋体" w:eastAsia="宋体" w:cs="宋体"/>
      <w:color w:val="000000"/>
      <w:sz w:val="21"/>
      <w:szCs w:val="21"/>
      <w:u w:val="none"/>
    </w:rPr>
  </w:style>
  <w:style w:type="character" w:styleId="933" w:customStyle="1">
    <w:name w:val="font51"/>
    <w:basedOn w:val="731"/>
    <w:uiPriority w:val="0"/>
    <w:qFormat/>
    <w:rPr>
      <w:rFonts w:hint="default" w:ascii="楷体_GB2312" w:eastAsia="楷体_GB2312" w:cs="楷体_GB2312"/>
      <w:color w:val="000000"/>
      <w:sz w:val="21"/>
      <w:szCs w:val="21"/>
      <w:u w:val="none"/>
    </w:rPr>
  </w:style>
  <w:style w:type="character" w:styleId="934" w:customStyle="1">
    <w:name w:val="font01"/>
    <w:basedOn w:val="731"/>
    <w:uiPriority w:val="0"/>
    <w:qFormat/>
    <w:rPr>
      <w:rFonts w:hint="eastAsia" w:ascii="宋体" w:hAnsi="宋体" w:eastAsia="宋体" w:cs="宋体"/>
      <w:color w:val="000000"/>
      <w:sz w:val="20"/>
      <w:szCs w:val="20"/>
      <w:u w:val="none"/>
    </w:rPr>
  </w:style>
  <w:style w:type="paragraph" w:styleId="935" w:customStyle="1">
    <w:name w:val="纯文本111"/>
    <w:basedOn w:val="721"/>
    <w:uiPriority w:val="0"/>
    <w:qFormat/>
    <w:rPr>
      <w:rFonts w:hint="eastAsia" w:ascii="宋体" w:hAnsi="Courier New" w:eastAsia="楷体_GB2312"/>
      <w:sz w:val="28"/>
      <w:szCs w:val="28"/>
    </w:rPr>
  </w:style>
  <w:style w:type="paragraph" w:styleId="936" w:customStyle="1">
    <w:name w:val="纯文本4"/>
    <w:basedOn w:val="721"/>
    <w:uiPriority w:val="0"/>
    <w:qFormat/>
    <w:rPr>
      <w:rFonts w:hint="eastAsia" w:hAnsi="Courier New" w:eastAsia="楷体_GB2312"/>
      <w:sz w:val="26"/>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蔡艳平</cp:lastModifiedBy>
  <cp:revision>4</cp:revision>
  <dcterms:created xsi:type="dcterms:W3CDTF">2023-07-27T01:57:00Z</dcterms:created>
  <dcterms:modified xsi:type="dcterms:W3CDTF">2026-01-14T08:11:51Z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750FFFC6D51A49679C0A4DE12F2E3420_13</vt:lpwstr>
  </property>
  <property fmtid="{D5CDD505-2E9C-101B-9397-08002B2CF9AE}" pid="4" name="KSOTemplateDocerSaveRecord">
    <vt:lpwstr>eyJoZGlkIjoiOTRlYTRkYWMzZmU3OTYwMzIzNzg5NWE2MzRjOTY3YTYiLCJ1c2VySWQiOiIxNDU5NTE5MjgwIn0=</vt:lpwstr>
  </property>
</Properties>
</file>